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0774" w:rsidRPr="00B32D7E" w:rsidRDefault="00F80774" w:rsidP="00F80774">
      <w:pPr>
        <w:spacing w:after="0"/>
        <w:rPr>
          <w:rFonts w:cstheme="minorHAnsi"/>
          <w:b/>
          <w:sz w:val="32"/>
          <w:szCs w:val="32"/>
          <w:lang w:eastAsia="en-IE"/>
        </w:rPr>
      </w:pPr>
      <w:bookmarkStart w:id="0" w:name="_GoBack"/>
      <w:bookmarkEnd w:id="0"/>
    </w:p>
    <w:p w:rsidR="00F80774" w:rsidRPr="00B32D7E" w:rsidRDefault="00F80774" w:rsidP="00F80774">
      <w:pPr>
        <w:spacing w:after="0"/>
        <w:jc w:val="center"/>
        <w:rPr>
          <w:rFonts w:cstheme="minorHAnsi"/>
          <w:b/>
          <w:sz w:val="32"/>
          <w:szCs w:val="32"/>
          <w:lang w:eastAsia="en-IE"/>
        </w:rPr>
      </w:pPr>
      <w:r w:rsidRPr="00B32D7E">
        <w:rPr>
          <w:rFonts w:ascii="Calibri" w:hAnsi="Calibri"/>
          <w:b/>
          <w:noProof/>
          <w:lang w:eastAsia="en-IE"/>
        </w:rPr>
        <w:drawing>
          <wp:inline distT="0" distB="0" distL="0" distR="0" wp14:anchorId="5A81ACA6" wp14:editId="3BC9340C">
            <wp:extent cx="2847975" cy="1533525"/>
            <wp:effectExtent l="0" t="0" r="9525" b="9525"/>
            <wp:docPr id="7" name="Picture 7" descr="NTA Logo Updat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TA Logo Updated.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47975" cy="1533525"/>
                    </a:xfrm>
                    <a:prstGeom prst="rect">
                      <a:avLst/>
                    </a:prstGeom>
                    <a:noFill/>
                    <a:ln>
                      <a:noFill/>
                    </a:ln>
                  </pic:spPr>
                </pic:pic>
              </a:graphicData>
            </a:graphic>
          </wp:inline>
        </w:drawing>
      </w:r>
    </w:p>
    <w:p w:rsidR="00F80774" w:rsidRPr="00B32D7E" w:rsidRDefault="00F80774" w:rsidP="00F80774">
      <w:pPr>
        <w:spacing w:after="0"/>
        <w:rPr>
          <w:rFonts w:cstheme="minorHAnsi"/>
          <w:b/>
          <w:sz w:val="32"/>
          <w:szCs w:val="32"/>
          <w:lang w:eastAsia="en-IE"/>
        </w:rPr>
      </w:pPr>
    </w:p>
    <w:p w:rsidR="00F80774" w:rsidRPr="00B32D7E" w:rsidRDefault="00F80774" w:rsidP="00F80774">
      <w:pPr>
        <w:spacing w:after="0"/>
        <w:rPr>
          <w:rFonts w:cstheme="minorHAnsi"/>
          <w:b/>
          <w:sz w:val="32"/>
          <w:szCs w:val="32"/>
          <w:lang w:eastAsia="en-IE"/>
        </w:rPr>
      </w:pPr>
    </w:p>
    <w:p w:rsidR="00F80774" w:rsidRPr="00B32D7E" w:rsidRDefault="00F80774" w:rsidP="00F80774">
      <w:pPr>
        <w:spacing w:after="0"/>
        <w:rPr>
          <w:rFonts w:cstheme="minorHAnsi"/>
          <w:b/>
          <w:sz w:val="32"/>
          <w:szCs w:val="32"/>
          <w:lang w:eastAsia="en-IE"/>
        </w:rPr>
      </w:pPr>
    </w:p>
    <w:p w:rsidR="00F80774" w:rsidRPr="00B32D7E" w:rsidRDefault="00F80774" w:rsidP="00F80774">
      <w:pPr>
        <w:spacing w:after="0"/>
        <w:jc w:val="center"/>
        <w:rPr>
          <w:rFonts w:cstheme="minorHAnsi"/>
          <w:b/>
          <w:sz w:val="32"/>
          <w:szCs w:val="32"/>
          <w:lang w:eastAsia="en-IE"/>
        </w:rPr>
      </w:pPr>
    </w:p>
    <w:p w:rsidR="00C718F5" w:rsidRPr="00B32D7E" w:rsidRDefault="00C718F5" w:rsidP="00F80774">
      <w:pPr>
        <w:spacing w:after="0"/>
        <w:jc w:val="center"/>
        <w:rPr>
          <w:rFonts w:cstheme="minorHAnsi"/>
          <w:b/>
          <w:sz w:val="48"/>
          <w:szCs w:val="48"/>
          <w:lang w:eastAsia="en-IE"/>
        </w:rPr>
      </w:pPr>
      <w:r w:rsidRPr="00B32D7E">
        <w:rPr>
          <w:rFonts w:cstheme="minorHAnsi"/>
          <w:b/>
          <w:sz w:val="48"/>
          <w:szCs w:val="48"/>
          <w:lang w:eastAsia="en-IE"/>
        </w:rPr>
        <w:t xml:space="preserve">Public Consultation on </w:t>
      </w:r>
    </w:p>
    <w:p w:rsidR="00C718F5" w:rsidRPr="00B32D7E" w:rsidRDefault="00C718F5" w:rsidP="00F80774">
      <w:pPr>
        <w:spacing w:after="0"/>
        <w:jc w:val="center"/>
        <w:rPr>
          <w:rFonts w:cstheme="minorHAnsi"/>
          <w:b/>
          <w:sz w:val="48"/>
          <w:szCs w:val="48"/>
          <w:lang w:eastAsia="en-IE"/>
        </w:rPr>
      </w:pPr>
    </w:p>
    <w:p w:rsidR="00F80774" w:rsidRPr="00B32D7E" w:rsidRDefault="00C718F5" w:rsidP="00F80774">
      <w:pPr>
        <w:spacing w:after="0"/>
        <w:jc w:val="center"/>
        <w:rPr>
          <w:rFonts w:cstheme="minorHAnsi"/>
          <w:b/>
          <w:sz w:val="48"/>
          <w:szCs w:val="48"/>
          <w:lang w:eastAsia="en-IE"/>
        </w:rPr>
      </w:pPr>
      <w:r w:rsidRPr="00B32D7E">
        <w:rPr>
          <w:rFonts w:cstheme="minorHAnsi"/>
          <w:b/>
          <w:sz w:val="48"/>
          <w:szCs w:val="48"/>
          <w:lang w:eastAsia="en-IE"/>
        </w:rPr>
        <w:t xml:space="preserve">The </w:t>
      </w:r>
      <w:r w:rsidR="00F80774" w:rsidRPr="00B32D7E">
        <w:rPr>
          <w:rFonts w:cstheme="minorHAnsi"/>
          <w:b/>
          <w:sz w:val="48"/>
          <w:szCs w:val="48"/>
          <w:lang w:eastAsia="en-IE"/>
        </w:rPr>
        <w:t xml:space="preserve">Role of Rail in Ireland </w:t>
      </w:r>
      <w:r w:rsidR="005419E2">
        <w:rPr>
          <w:rFonts w:cstheme="minorHAnsi"/>
          <w:b/>
          <w:sz w:val="48"/>
          <w:szCs w:val="48"/>
          <w:lang w:eastAsia="en-IE"/>
        </w:rPr>
        <w:t xml:space="preserve">and Funding its Delivery  </w:t>
      </w:r>
    </w:p>
    <w:p w:rsidR="00F80774" w:rsidRPr="00B32D7E" w:rsidRDefault="00F80774" w:rsidP="00F80774">
      <w:pPr>
        <w:spacing w:after="0"/>
        <w:rPr>
          <w:rFonts w:cstheme="minorHAnsi"/>
          <w:b/>
          <w:sz w:val="32"/>
          <w:szCs w:val="32"/>
          <w:lang w:eastAsia="en-IE"/>
        </w:rPr>
      </w:pPr>
    </w:p>
    <w:p w:rsidR="00C718F5" w:rsidRPr="00B32D7E" w:rsidRDefault="00C718F5" w:rsidP="00C718F5">
      <w:pPr>
        <w:jc w:val="center"/>
        <w:rPr>
          <w:b/>
          <w:sz w:val="40"/>
        </w:rPr>
      </w:pPr>
    </w:p>
    <w:p w:rsidR="00C718F5" w:rsidRPr="00B32D7E" w:rsidRDefault="00C718F5" w:rsidP="00C718F5">
      <w:pPr>
        <w:rPr>
          <w:rFonts w:ascii="Arial" w:hAnsi="Arial" w:cs="Arial"/>
          <w:b/>
          <w:bCs/>
          <w:sz w:val="28"/>
          <w:szCs w:val="32"/>
        </w:rPr>
      </w:pPr>
    </w:p>
    <w:p w:rsidR="00C718F5" w:rsidRPr="00B32D7E" w:rsidRDefault="00C718F5" w:rsidP="00C718F5">
      <w:pPr>
        <w:rPr>
          <w:b/>
          <w:bCs/>
          <w:i/>
          <w:iCs/>
          <w:sz w:val="28"/>
        </w:rPr>
      </w:pPr>
    </w:p>
    <w:p w:rsidR="00C718F5" w:rsidRPr="00B32D7E" w:rsidRDefault="00C718F5" w:rsidP="00C718F5">
      <w:pPr>
        <w:rPr>
          <w:b/>
          <w:bCs/>
          <w:i/>
          <w:iCs/>
          <w:sz w:val="28"/>
        </w:rPr>
      </w:pPr>
      <w:r w:rsidRPr="00B32D7E">
        <w:rPr>
          <w:b/>
          <w:bCs/>
          <w:i/>
          <w:iCs/>
          <w:sz w:val="28"/>
        </w:rPr>
        <w:tab/>
      </w:r>
      <w:r w:rsidRPr="00B32D7E">
        <w:rPr>
          <w:b/>
          <w:bCs/>
          <w:i/>
          <w:iCs/>
          <w:sz w:val="28"/>
        </w:rPr>
        <w:tab/>
      </w:r>
      <w:r w:rsidRPr="00B32D7E">
        <w:rPr>
          <w:b/>
          <w:bCs/>
          <w:i/>
          <w:iCs/>
          <w:sz w:val="28"/>
        </w:rPr>
        <w:tab/>
      </w:r>
      <w:r w:rsidRPr="00B32D7E">
        <w:rPr>
          <w:b/>
          <w:bCs/>
          <w:i/>
          <w:iCs/>
          <w:sz w:val="28"/>
        </w:rPr>
        <w:tab/>
      </w:r>
      <w:r w:rsidRPr="00B32D7E">
        <w:rPr>
          <w:b/>
          <w:bCs/>
          <w:i/>
          <w:iCs/>
          <w:sz w:val="28"/>
        </w:rPr>
        <w:tab/>
      </w:r>
      <w:r w:rsidRPr="00B32D7E">
        <w:rPr>
          <w:b/>
          <w:bCs/>
          <w:i/>
          <w:iCs/>
          <w:sz w:val="28"/>
        </w:rPr>
        <w:tab/>
      </w:r>
      <w:r w:rsidRPr="00B32D7E">
        <w:rPr>
          <w:b/>
          <w:bCs/>
          <w:i/>
          <w:iCs/>
          <w:sz w:val="28"/>
        </w:rPr>
        <w:tab/>
      </w:r>
      <w:r w:rsidRPr="00B32D7E">
        <w:rPr>
          <w:b/>
          <w:bCs/>
          <w:i/>
          <w:iCs/>
          <w:sz w:val="28"/>
        </w:rPr>
        <w:tab/>
      </w:r>
      <w:r w:rsidR="009B1B2D">
        <w:rPr>
          <w:b/>
          <w:bCs/>
          <w:i/>
          <w:iCs/>
          <w:sz w:val="28"/>
        </w:rPr>
        <w:t>Novemb</w:t>
      </w:r>
      <w:r w:rsidR="009B1B2D" w:rsidRPr="00B32D7E">
        <w:rPr>
          <w:b/>
          <w:bCs/>
          <w:i/>
          <w:iCs/>
          <w:sz w:val="28"/>
        </w:rPr>
        <w:t xml:space="preserve">er </w:t>
      </w:r>
      <w:r w:rsidR="000A03CB" w:rsidRPr="00B32D7E">
        <w:rPr>
          <w:b/>
          <w:bCs/>
          <w:i/>
          <w:iCs/>
          <w:sz w:val="28"/>
        </w:rPr>
        <w:t>2016</w:t>
      </w:r>
    </w:p>
    <w:p w:rsidR="00C718F5" w:rsidRPr="00B32D7E" w:rsidRDefault="00C718F5" w:rsidP="00C718F5">
      <w:pPr>
        <w:rPr>
          <w:b/>
          <w:bCs/>
          <w:i/>
          <w:iCs/>
          <w:sz w:val="28"/>
        </w:rPr>
      </w:pPr>
    </w:p>
    <w:p w:rsidR="00C718F5" w:rsidRPr="00B32D7E" w:rsidRDefault="00C718F5" w:rsidP="00F80774">
      <w:pPr>
        <w:spacing w:after="0"/>
        <w:rPr>
          <w:rFonts w:cstheme="minorHAnsi"/>
          <w:b/>
          <w:sz w:val="32"/>
          <w:szCs w:val="32"/>
          <w:lang w:eastAsia="en-IE"/>
        </w:rPr>
        <w:sectPr w:rsidR="00C718F5" w:rsidRPr="00B32D7E" w:rsidSect="002C47CB">
          <w:headerReference w:type="default" r:id="rId10"/>
          <w:footerReference w:type="default" r:id="rId11"/>
          <w:footerReference w:type="first" r:id="rId12"/>
          <w:pgSz w:w="11906" w:h="16838"/>
          <w:pgMar w:top="1440" w:right="1440" w:bottom="1440" w:left="1440" w:header="708" w:footer="708" w:gutter="0"/>
          <w:cols w:space="708"/>
          <w:docGrid w:linePitch="360"/>
        </w:sectPr>
      </w:pPr>
    </w:p>
    <w:p w:rsidR="00372632" w:rsidRPr="00B32D7E" w:rsidRDefault="00372632" w:rsidP="008674AD">
      <w:pPr>
        <w:pStyle w:val="Heading1"/>
        <w:rPr>
          <w:rStyle w:val="Heading1Char"/>
          <w:b/>
          <w:bCs/>
        </w:rPr>
      </w:pPr>
      <w:bookmarkStart w:id="1" w:name="_Toc404875189"/>
      <w:bookmarkStart w:id="2" w:name="_Toc416710790"/>
      <w:r w:rsidRPr="00B32D7E">
        <w:rPr>
          <w:rStyle w:val="Heading1Char"/>
          <w:b/>
          <w:bCs/>
        </w:rPr>
        <w:lastRenderedPageBreak/>
        <w:t>Introduction</w:t>
      </w:r>
      <w:bookmarkEnd w:id="1"/>
      <w:bookmarkEnd w:id="2"/>
    </w:p>
    <w:p w:rsidR="000A2784" w:rsidRPr="00B32D7E" w:rsidRDefault="000A2784" w:rsidP="000A2784">
      <w:pPr>
        <w:pStyle w:val="Heading2"/>
      </w:pPr>
      <w:bookmarkStart w:id="3" w:name="_Toc404875190"/>
      <w:bookmarkStart w:id="4" w:name="_Toc416710791"/>
      <w:r w:rsidRPr="00B32D7E">
        <w:t>1.</w:t>
      </w:r>
      <w:r>
        <w:t>1</w:t>
      </w:r>
      <w:r w:rsidRPr="00B32D7E">
        <w:t xml:space="preserve"> Strategic Framework for Investment in Land Transport (SFILT)</w:t>
      </w:r>
      <w:r>
        <w:t xml:space="preserve"> </w:t>
      </w:r>
    </w:p>
    <w:p w:rsidR="000A2784" w:rsidRDefault="000A2784" w:rsidP="000A2784">
      <w:pPr>
        <w:jc w:val="both"/>
        <w:rPr>
          <w:rFonts w:ascii="Calibri" w:hAnsi="Calibri"/>
        </w:rPr>
      </w:pPr>
      <w:r>
        <w:rPr>
          <w:rFonts w:ascii="Calibri" w:hAnsi="Calibri"/>
        </w:rPr>
        <w:t xml:space="preserve">In August 2015, following on from a public consultation process, the Minister for Transport, Tourism and Sport published the Strategic Framework for Investment in Land Transport (SFILT). The Framework, which was based on a wide-ranging policy analysis exercise, including a Strategic Environmental Assessment (SEA), establishes key principles and priorities to guide transport investment over the coming decades. The Framework identified that Ireland’s existing heavy rail network accounts for 1%–2% of passenger trip demand, 4%–5% of passenger kilometres and around 1% of freight tonne kilometres. The SFILT put forward a conservative estimate of €1.6 billion per annum for the cost of keeping the full land transport network (i.e. roads and rail) in a steady state – neither deteriorating nor being enhanced. The Exchequer element of the estimate is €1.3 billion (€300 million from other sources e.g. toll receipts) and the steady state requirement for heavy rail network accounts for over 20% of that </w:t>
      </w:r>
      <w:r w:rsidR="008F7773">
        <w:rPr>
          <w:rFonts w:ascii="Calibri" w:hAnsi="Calibri"/>
        </w:rPr>
        <w:t>figure</w:t>
      </w:r>
      <w:r>
        <w:t xml:space="preserve">. </w:t>
      </w:r>
      <w:r>
        <w:rPr>
          <w:rFonts w:ascii="Calibri" w:hAnsi="Calibri"/>
        </w:rPr>
        <w:t xml:space="preserve">The Framework pointed to the need to critically examine the extent of the railway network in the context of demand levels on routes. </w:t>
      </w:r>
    </w:p>
    <w:p w:rsidR="000A2784" w:rsidRDefault="000A2784" w:rsidP="000A2784">
      <w:pPr>
        <w:jc w:val="both"/>
      </w:pPr>
      <w:r>
        <w:t xml:space="preserve">The Framework focussed firmly on prioritisation of scarce investment resources and highlighted that the scale of the investment requirements (and operational subvention) strongly point to the need for an updated rail policy with value for money as a fundamental feature. </w:t>
      </w:r>
      <w:r>
        <w:rPr>
          <w:lang w:eastAsia="en-IE"/>
        </w:rPr>
        <w:t xml:space="preserve"> The Framework concluded that a new rail policy will be developed following a </w:t>
      </w:r>
      <w:r>
        <w:t>wide-ranging public consultation, which will address key questions including how to focus rail investment on where rail has, or will have its greatest strength in transport, social and environmental terms, in addition to securing value for money for the State’s investment. The publication of the Rail Review and the launch of this consultation process are important steps towards development of such a policy.</w:t>
      </w:r>
    </w:p>
    <w:p w:rsidR="000A2784" w:rsidRDefault="000A2784" w:rsidP="00CE3EE8">
      <w:pPr>
        <w:pStyle w:val="Heading2"/>
      </w:pPr>
    </w:p>
    <w:p w:rsidR="00F26D91" w:rsidRPr="00B32D7E" w:rsidRDefault="00F26D91" w:rsidP="00CE3EE8">
      <w:pPr>
        <w:pStyle w:val="Heading2"/>
      </w:pPr>
      <w:r w:rsidRPr="00B32D7E">
        <w:t>1.</w:t>
      </w:r>
      <w:r w:rsidR="000A2784">
        <w:t>2</w:t>
      </w:r>
      <w:r w:rsidRPr="00B32D7E">
        <w:t xml:space="preserve"> </w:t>
      </w:r>
      <w:r w:rsidR="00AA3D60" w:rsidRPr="00B32D7E">
        <w:t xml:space="preserve">The </w:t>
      </w:r>
      <w:r w:rsidR="00716C63" w:rsidRPr="00B32D7E">
        <w:t>p</w:t>
      </w:r>
      <w:r w:rsidR="00AA3D60" w:rsidRPr="00B32D7E">
        <w:t>urpose of this consultation</w:t>
      </w:r>
      <w:bookmarkEnd w:id="3"/>
      <w:bookmarkEnd w:id="4"/>
    </w:p>
    <w:p w:rsidR="00AE23D6" w:rsidRPr="00B32D7E" w:rsidRDefault="00340A66" w:rsidP="00450BFF">
      <w:pPr>
        <w:jc w:val="both"/>
      </w:pPr>
      <w:r w:rsidRPr="00B32D7E">
        <w:t xml:space="preserve">In recent years </w:t>
      </w:r>
      <w:r w:rsidR="00C718F5" w:rsidRPr="00B32D7E">
        <w:t xml:space="preserve">Iarnród Éireann, </w:t>
      </w:r>
      <w:r w:rsidR="005419E2">
        <w:t xml:space="preserve">the company that </w:t>
      </w:r>
      <w:r w:rsidR="00C718F5" w:rsidRPr="00B32D7E">
        <w:t xml:space="preserve">maintains the </w:t>
      </w:r>
      <w:r w:rsidR="00AE23D6" w:rsidRPr="00B32D7E">
        <w:t xml:space="preserve">national </w:t>
      </w:r>
      <w:r w:rsidR="00C718F5" w:rsidRPr="00B32D7E">
        <w:t xml:space="preserve">rail network and operates </w:t>
      </w:r>
      <w:r w:rsidR="00660800">
        <w:t xml:space="preserve">rail </w:t>
      </w:r>
      <w:r w:rsidR="00C718F5" w:rsidRPr="00B32D7E">
        <w:t xml:space="preserve">services under contract to the National Transport Authority, </w:t>
      </w:r>
      <w:r w:rsidRPr="00B32D7E">
        <w:t xml:space="preserve">has come under </w:t>
      </w:r>
      <w:r w:rsidR="00C718F5" w:rsidRPr="00B32D7E">
        <w:t xml:space="preserve">increasing financial pressure </w:t>
      </w:r>
      <w:r w:rsidR="00052A10">
        <w:t xml:space="preserve">in the context of </w:t>
      </w:r>
      <w:r w:rsidR="00724D39">
        <w:t xml:space="preserve">a </w:t>
      </w:r>
      <w:r w:rsidR="00C718F5" w:rsidRPr="00B32D7E">
        <w:t>significant</w:t>
      </w:r>
      <w:r w:rsidR="003255F0" w:rsidRPr="00B32D7E">
        <w:t xml:space="preserve"> decline in </w:t>
      </w:r>
      <w:r w:rsidR="00C96870">
        <w:t xml:space="preserve">passenger numbers and </w:t>
      </w:r>
      <w:r w:rsidR="00724D39">
        <w:t>a</w:t>
      </w:r>
      <w:r w:rsidR="00AE23D6" w:rsidRPr="00B32D7E">
        <w:t xml:space="preserve"> </w:t>
      </w:r>
      <w:r w:rsidR="003255F0" w:rsidRPr="00B32D7E">
        <w:t>reduction in</w:t>
      </w:r>
      <w:r w:rsidR="00AE23D6" w:rsidRPr="00B32D7E">
        <w:t xml:space="preserve"> the level of Government funding </w:t>
      </w:r>
      <w:r w:rsidR="003255F0" w:rsidRPr="00B32D7E">
        <w:t>due to the economic crisis</w:t>
      </w:r>
      <w:r w:rsidR="00C96870">
        <w:t xml:space="preserve"> of 2008 - 201</w:t>
      </w:r>
      <w:r w:rsidR="005419E2">
        <w:t>2</w:t>
      </w:r>
      <w:r w:rsidR="00AE23D6" w:rsidRPr="00B32D7E">
        <w:t xml:space="preserve">, and </w:t>
      </w:r>
      <w:r w:rsidR="003255F0" w:rsidRPr="00B32D7E">
        <w:t>an</w:t>
      </w:r>
      <w:r w:rsidR="00AE23D6" w:rsidRPr="00B32D7E">
        <w:t xml:space="preserve"> increase in competition from the private car and from coach buses due to the completion of a national motorway network </w:t>
      </w:r>
      <w:r w:rsidR="00660800">
        <w:t xml:space="preserve">and the competitive journey times </w:t>
      </w:r>
      <w:r w:rsidR="00724D39">
        <w:t xml:space="preserve">now possible by </w:t>
      </w:r>
      <w:r w:rsidR="00E21ED0">
        <w:t xml:space="preserve">road. </w:t>
      </w:r>
      <w:r w:rsidR="0005288D" w:rsidRPr="00B32D7E">
        <w:t xml:space="preserve"> </w:t>
      </w:r>
      <w:r w:rsidR="00611A29">
        <w:t xml:space="preserve">In response to the financial pressure, Iarnród Éireann reduced its cost base </w:t>
      </w:r>
      <w:r w:rsidR="00B43099">
        <w:t xml:space="preserve">in the six years to 2014 </w:t>
      </w:r>
      <w:r w:rsidR="00611A29">
        <w:t xml:space="preserve">by </w:t>
      </w:r>
      <w:r w:rsidR="000A2784">
        <w:t xml:space="preserve">over </w:t>
      </w:r>
      <w:r w:rsidR="00611A29">
        <w:t>€7</w:t>
      </w:r>
      <w:r w:rsidR="000A2784">
        <w:t>0</w:t>
      </w:r>
      <w:r w:rsidR="00611A29">
        <w:t xml:space="preserve"> million per annum and its workforce by </w:t>
      </w:r>
      <w:r w:rsidR="000A2784">
        <w:t xml:space="preserve">over </w:t>
      </w:r>
      <w:r w:rsidR="00611A29">
        <w:t>1,</w:t>
      </w:r>
      <w:r w:rsidR="00B43099">
        <w:t>0</w:t>
      </w:r>
      <w:r w:rsidR="000A2784">
        <w:t>00</w:t>
      </w:r>
      <w:r w:rsidR="00B43099">
        <w:t>.</w:t>
      </w:r>
    </w:p>
    <w:p w:rsidR="00D2195C" w:rsidRPr="00B32D7E" w:rsidRDefault="00704F46" w:rsidP="00F85952">
      <w:pPr>
        <w:jc w:val="both"/>
      </w:pPr>
      <w:r w:rsidRPr="00B32D7E">
        <w:t xml:space="preserve">While </w:t>
      </w:r>
      <w:r w:rsidR="00660800">
        <w:t xml:space="preserve">rail </w:t>
      </w:r>
      <w:r w:rsidRPr="00B32D7E">
        <w:t xml:space="preserve">patronage </w:t>
      </w:r>
      <w:r w:rsidR="00E876C5" w:rsidRPr="00B32D7E">
        <w:t xml:space="preserve">has </w:t>
      </w:r>
      <w:r w:rsidR="005419E2">
        <w:t xml:space="preserve">since 2013 </w:t>
      </w:r>
      <w:r w:rsidR="00E876C5" w:rsidRPr="00B32D7E">
        <w:t>re</w:t>
      </w:r>
      <w:r w:rsidR="009071D3">
        <w:t xml:space="preserve">gained some lost ground, </w:t>
      </w:r>
      <w:r w:rsidR="00D2195C" w:rsidRPr="00B32D7E">
        <w:t xml:space="preserve">the percentage of total travel nationally by rail </w:t>
      </w:r>
      <w:r w:rsidR="009071D3">
        <w:t xml:space="preserve">remains </w:t>
      </w:r>
      <w:r w:rsidR="00D2195C" w:rsidRPr="00B32D7E">
        <w:t xml:space="preserve">low </w:t>
      </w:r>
      <w:r w:rsidR="00E876C5" w:rsidRPr="00B32D7E">
        <w:t xml:space="preserve">compared to </w:t>
      </w:r>
      <w:r w:rsidR="00C96870">
        <w:t xml:space="preserve">that by </w:t>
      </w:r>
      <w:r w:rsidR="00E876C5" w:rsidRPr="00B32D7E">
        <w:t>bus. R</w:t>
      </w:r>
      <w:r w:rsidRPr="00B32D7E">
        <w:t xml:space="preserve">evenue generated by rail </w:t>
      </w:r>
      <w:r w:rsidR="00660800">
        <w:t xml:space="preserve">passengers </w:t>
      </w:r>
      <w:r w:rsidR="00D2195C" w:rsidRPr="00B32D7E">
        <w:t>is</w:t>
      </w:r>
      <w:r w:rsidR="00985045">
        <w:t>,</w:t>
      </w:r>
      <w:r w:rsidR="00D2195C" w:rsidRPr="00B32D7E">
        <w:t xml:space="preserve"> and </w:t>
      </w:r>
      <w:r w:rsidR="000D583E" w:rsidRPr="00B32D7E">
        <w:t>will remain</w:t>
      </w:r>
      <w:r w:rsidR="00985045">
        <w:t>,</w:t>
      </w:r>
      <w:r w:rsidR="000D583E" w:rsidRPr="00B32D7E">
        <w:t xml:space="preserve"> significantly l</w:t>
      </w:r>
      <w:r w:rsidR="001C310D">
        <w:t>ess</w:t>
      </w:r>
      <w:r w:rsidR="000D583E" w:rsidRPr="00B32D7E">
        <w:t xml:space="preserve"> than the </w:t>
      </w:r>
      <w:r w:rsidR="00052A10">
        <w:t xml:space="preserve">combined </w:t>
      </w:r>
      <w:r w:rsidR="000D583E" w:rsidRPr="00B32D7E">
        <w:t xml:space="preserve">cost of </w:t>
      </w:r>
      <w:r w:rsidR="00052A10" w:rsidRPr="00B32D7E">
        <w:t>providing services</w:t>
      </w:r>
      <w:r w:rsidR="00052A10">
        <w:t>,</w:t>
      </w:r>
      <w:r w:rsidR="00724D39">
        <w:t xml:space="preserve"> </w:t>
      </w:r>
      <w:r w:rsidR="00AE23D6" w:rsidRPr="00B32D7E">
        <w:t>maintaining infrastructure</w:t>
      </w:r>
      <w:r w:rsidR="00052A10">
        <w:t xml:space="preserve"> and</w:t>
      </w:r>
      <w:r w:rsidR="000A43A0">
        <w:t xml:space="preserve"> capital works</w:t>
      </w:r>
      <w:r w:rsidR="000D583E" w:rsidRPr="00B32D7E">
        <w:t xml:space="preserve">. </w:t>
      </w:r>
      <w:r w:rsidR="00E21ED0">
        <w:t xml:space="preserve">To </w:t>
      </w:r>
      <w:r w:rsidR="00AE23D6" w:rsidRPr="00B32D7E">
        <w:t>identify possible financial solutions</w:t>
      </w:r>
      <w:r w:rsidR="000D583E" w:rsidRPr="00B32D7E">
        <w:t xml:space="preserve"> it is considered timely to review the </w:t>
      </w:r>
      <w:r w:rsidR="00F85952" w:rsidRPr="00B32D7E">
        <w:t xml:space="preserve">role of rail </w:t>
      </w:r>
      <w:r w:rsidR="00C96870">
        <w:t xml:space="preserve">in the State and whether </w:t>
      </w:r>
      <w:r w:rsidR="008F7773">
        <w:t>the financial support</w:t>
      </w:r>
      <w:r w:rsidR="00C96870">
        <w:t xml:space="preserve"> per passenger carried should continue at </w:t>
      </w:r>
      <w:r w:rsidR="00660800">
        <w:t xml:space="preserve">current </w:t>
      </w:r>
      <w:r w:rsidR="00C96870">
        <w:t>level</w:t>
      </w:r>
      <w:r w:rsidR="00660800">
        <w:t>s</w:t>
      </w:r>
      <w:r w:rsidR="00C96870">
        <w:t xml:space="preserve"> into the future. </w:t>
      </w:r>
      <w:r w:rsidR="00F85952" w:rsidRPr="00B32D7E">
        <w:t xml:space="preserve"> </w:t>
      </w:r>
    </w:p>
    <w:p w:rsidR="008145EA" w:rsidRPr="00B32D7E" w:rsidRDefault="00B44308" w:rsidP="00AE23D6">
      <w:pPr>
        <w:jc w:val="both"/>
      </w:pPr>
      <w:r w:rsidRPr="00B32D7E">
        <w:lastRenderedPageBreak/>
        <w:t xml:space="preserve">The 2016 Rail Review </w:t>
      </w:r>
      <w:r w:rsidR="000A2784">
        <w:t xml:space="preserve">was undertaken jointly by the National Transport Authority (NTA) and Iarnród Éireann, and is </w:t>
      </w:r>
      <w:r w:rsidR="006A7F04">
        <w:t xml:space="preserve">published </w:t>
      </w:r>
      <w:r w:rsidR="000A2784">
        <w:t xml:space="preserve">as part of this public consultation process. The Review </w:t>
      </w:r>
      <w:r w:rsidRPr="00B32D7E">
        <w:t>look</w:t>
      </w:r>
      <w:r w:rsidR="00A2222B">
        <w:t>s</w:t>
      </w:r>
      <w:r w:rsidRPr="00B32D7E">
        <w:t xml:space="preserve"> </w:t>
      </w:r>
      <w:r w:rsidR="008145EA" w:rsidRPr="00B32D7E">
        <w:t>primarily at the existing rail network, the funding required to maintain th</w:t>
      </w:r>
      <w:r w:rsidR="002C24C9">
        <w:t>e</w:t>
      </w:r>
      <w:r w:rsidR="008145EA" w:rsidRPr="00B32D7E">
        <w:t xml:space="preserve"> network</w:t>
      </w:r>
      <w:r w:rsidR="000A43A0">
        <w:t xml:space="preserve"> and provide for necessary capital works</w:t>
      </w:r>
      <w:r w:rsidR="00E30AFE">
        <w:t xml:space="preserve">, </w:t>
      </w:r>
      <w:r w:rsidR="00E30AFE" w:rsidRPr="00B32D7E">
        <w:t>and</w:t>
      </w:r>
      <w:r w:rsidR="008145EA" w:rsidRPr="00B32D7E">
        <w:t xml:space="preserve"> the gap that exists in the funding.  The Rail Review also examine</w:t>
      </w:r>
      <w:r w:rsidR="00A2222B">
        <w:t>s</w:t>
      </w:r>
      <w:r w:rsidR="008145EA" w:rsidRPr="00B32D7E">
        <w:t xml:space="preserve"> the potential of rail to meet the economic, environmental and social needs of the </w:t>
      </w:r>
      <w:r w:rsidR="00A2222B">
        <w:t>S</w:t>
      </w:r>
      <w:r w:rsidR="008145EA" w:rsidRPr="00B32D7E">
        <w:t xml:space="preserve">tate in the future and </w:t>
      </w:r>
      <w:r w:rsidR="00660800">
        <w:t xml:space="preserve">discusses </w:t>
      </w:r>
      <w:r w:rsidR="008145EA" w:rsidRPr="00B32D7E">
        <w:t xml:space="preserve">the importance of maintaining a rail network to support </w:t>
      </w:r>
      <w:r w:rsidR="00660800">
        <w:t xml:space="preserve">strategic </w:t>
      </w:r>
      <w:r w:rsidR="008145EA" w:rsidRPr="00B32D7E">
        <w:t>sustainable growth in travel demand.</w:t>
      </w:r>
    </w:p>
    <w:p w:rsidR="00AE23D6" w:rsidRPr="00B32D7E" w:rsidRDefault="008145EA" w:rsidP="00AE23D6">
      <w:pPr>
        <w:jc w:val="both"/>
      </w:pPr>
      <w:r w:rsidRPr="00B32D7E">
        <w:t xml:space="preserve">This </w:t>
      </w:r>
      <w:r w:rsidR="000A2784">
        <w:t xml:space="preserve">NTA public </w:t>
      </w:r>
      <w:r w:rsidRPr="00B32D7E">
        <w:t xml:space="preserve">consultation paper summarises some of the findings of the 2016 Rail Review and </w:t>
      </w:r>
      <w:r w:rsidR="00935645">
        <w:t>highlights particular areas for discussion in relation to</w:t>
      </w:r>
      <w:r w:rsidRPr="00B32D7E">
        <w:t xml:space="preserve"> the role of rail in Ireland. </w:t>
      </w:r>
      <w:r w:rsidR="00AE23D6" w:rsidRPr="00B32D7E">
        <w:t xml:space="preserve">The purpose of </w:t>
      </w:r>
      <w:r w:rsidRPr="00B32D7E">
        <w:t>both documents</w:t>
      </w:r>
      <w:r w:rsidR="00B44308" w:rsidRPr="00B32D7E">
        <w:t xml:space="preserve"> </w:t>
      </w:r>
      <w:r w:rsidR="00AE23D6" w:rsidRPr="00B32D7E">
        <w:t xml:space="preserve">is </w:t>
      </w:r>
      <w:r w:rsidR="000E61AA" w:rsidRPr="00B32D7E">
        <w:t>to</w:t>
      </w:r>
      <w:r w:rsidR="00F85952" w:rsidRPr="00B32D7E">
        <w:t xml:space="preserve"> </w:t>
      </w:r>
      <w:r w:rsidR="00724D39">
        <w:t xml:space="preserve">start a </w:t>
      </w:r>
      <w:r w:rsidR="003255F0" w:rsidRPr="00B32D7E">
        <w:t xml:space="preserve">national </w:t>
      </w:r>
      <w:r w:rsidR="0013069E">
        <w:t>debate</w:t>
      </w:r>
      <w:r w:rsidR="00724D39">
        <w:t xml:space="preserve"> </w:t>
      </w:r>
      <w:r w:rsidR="00AE23D6" w:rsidRPr="00B32D7E">
        <w:t xml:space="preserve">on the </w:t>
      </w:r>
      <w:r w:rsidR="005B36F2" w:rsidRPr="00B32D7E">
        <w:t>current</w:t>
      </w:r>
      <w:r w:rsidR="00AE23D6" w:rsidRPr="00B32D7E">
        <w:t xml:space="preserve"> and future role of rail </w:t>
      </w:r>
      <w:r w:rsidR="00434318">
        <w:t xml:space="preserve">in </w:t>
      </w:r>
      <w:r w:rsidR="00AE23D6" w:rsidRPr="00B32D7E">
        <w:t>transport in Ireland.</w:t>
      </w:r>
    </w:p>
    <w:p w:rsidR="00BA6F94" w:rsidRPr="00B32D7E" w:rsidRDefault="00AE23D6" w:rsidP="00F85952">
      <w:pPr>
        <w:jc w:val="both"/>
      </w:pPr>
      <w:r w:rsidRPr="00B32D7E">
        <w:t>Th</w:t>
      </w:r>
      <w:r w:rsidR="00CD5D2D" w:rsidRPr="00B32D7E">
        <w:t>e</w:t>
      </w:r>
      <w:r w:rsidRPr="00B32D7E">
        <w:t xml:space="preserve"> National Transport </w:t>
      </w:r>
      <w:r w:rsidR="00EC65CA" w:rsidRPr="00B32D7E">
        <w:t>A</w:t>
      </w:r>
      <w:r w:rsidRPr="00B32D7E">
        <w:t xml:space="preserve">uthority will report </w:t>
      </w:r>
      <w:r w:rsidR="00EC65CA" w:rsidRPr="00B32D7E">
        <w:t>on</w:t>
      </w:r>
      <w:r w:rsidRPr="00B32D7E">
        <w:t xml:space="preserve"> the co</w:t>
      </w:r>
      <w:r w:rsidR="004E7078" w:rsidRPr="00B32D7E">
        <w:t>nsultation to the Minister for T</w:t>
      </w:r>
      <w:r w:rsidRPr="00B32D7E">
        <w:t>ransport, Tourism and Sport</w:t>
      </w:r>
      <w:r w:rsidR="00C96870">
        <w:t xml:space="preserve">, and the findings of the consultation will be used </w:t>
      </w:r>
      <w:r w:rsidRPr="00B32D7E">
        <w:t xml:space="preserve">to </w:t>
      </w:r>
      <w:r w:rsidR="000A2784">
        <w:t xml:space="preserve">inform and </w:t>
      </w:r>
      <w:r w:rsidRPr="00B32D7E">
        <w:t xml:space="preserve">assist </w:t>
      </w:r>
      <w:r w:rsidR="000A2784">
        <w:t xml:space="preserve">future </w:t>
      </w:r>
      <w:r w:rsidRPr="00B32D7E">
        <w:t>dec</w:t>
      </w:r>
      <w:r w:rsidR="00BA6F94" w:rsidRPr="00B32D7E">
        <w:t xml:space="preserve">ision making in relation </w:t>
      </w:r>
      <w:r w:rsidR="00CD5D2D" w:rsidRPr="00B32D7E">
        <w:t xml:space="preserve">to </w:t>
      </w:r>
      <w:r w:rsidR="00BA6F94" w:rsidRPr="00B32D7E">
        <w:t>rail</w:t>
      </w:r>
      <w:r w:rsidR="00075442" w:rsidRPr="00B32D7E">
        <w:t xml:space="preserve">. </w:t>
      </w:r>
    </w:p>
    <w:p w:rsidR="003E775A" w:rsidRPr="00B32D7E" w:rsidRDefault="00557980" w:rsidP="003E775A">
      <w:pPr>
        <w:pStyle w:val="Heading1"/>
      </w:pPr>
      <w:bookmarkStart w:id="5" w:name="_Toc416710819"/>
      <w:r w:rsidRPr="00B32D7E">
        <w:t>Overview</w:t>
      </w:r>
      <w:bookmarkEnd w:id="5"/>
    </w:p>
    <w:p w:rsidR="0071651D" w:rsidRPr="00B32D7E" w:rsidRDefault="00547074" w:rsidP="0071651D">
      <w:pPr>
        <w:pStyle w:val="Heading2"/>
      </w:pPr>
      <w:bookmarkStart w:id="6" w:name="_Toc416710820"/>
      <w:r w:rsidRPr="00B32D7E">
        <w:t>2</w:t>
      </w:r>
      <w:r w:rsidR="00E80006" w:rsidRPr="00B32D7E">
        <w:t>.1</w:t>
      </w:r>
      <w:r w:rsidR="00E80006" w:rsidRPr="00B32D7E">
        <w:tab/>
        <w:t xml:space="preserve">The </w:t>
      </w:r>
      <w:r w:rsidR="000A2784">
        <w:t xml:space="preserve">rail </w:t>
      </w:r>
      <w:r w:rsidR="00E80006" w:rsidRPr="00B32D7E">
        <w:t>n</w:t>
      </w:r>
      <w:r w:rsidR="0071651D" w:rsidRPr="00B32D7E">
        <w:t>etwork</w:t>
      </w:r>
      <w:bookmarkEnd w:id="6"/>
      <w:r w:rsidR="005419E2">
        <w:t xml:space="preserve">  </w:t>
      </w:r>
    </w:p>
    <w:p w:rsidR="000A6354" w:rsidRPr="00B32D7E" w:rsidRDefault="000A6354" w:rsidP="000A6354">
      <w:pPr>
        <w:spacing w:after="0"/>
        <w:jc w:val="both"/>
        <w:rPr>
          <w:rFonts w:eastAsiaTheme="minorEastAsia" w:cstheme="minorHAnsi"/>
          <w:lang w:eastAsia="en-IE"/>
        </w:rPr>
      </w:pPr>
      <w:r w:rsidRPr="00B32D7E">
        <w:rPr>
          <w:rFonts w:eastAsiaTheme="minorEastAsia" w:cstheme="minorHAnsi"/>
          <w:lang w:eastAsia="en-IE"/>
        </w:rPr>
        <w:t xml:space="preserve">The </w:t>
      </w:r>
      <w:r w:rsidR="00860419">
        <w:rPr>
          <w:rFonts w:eastAsiaTheme="minorEastAsia" w:cstheme="minorHAnsi"/>
          <w:lang w:eastAsia="en-IE"/>
        </w:rPr>
        <w:t xml:space="preserve">heavy </w:t>
      </w:r>
      <w:r w:rsidRPr="00B32D7E">
        <w:rPr>
          <w:rFonts w:eastAsiaTheme="minorEastAsia" w:cstheme="minorHAnsi"/>
          <w:lang w:eastAsia="en-IE"/>
        </w:rPr>
        <w:t xml:space="preserve">rail network in Ireland comprises approximately 2,400 km of railway track, of which approximately 1,660 km is currently active, and includes 147 passenger stations and 372 platforms. It also comprises 5,100 bridges, 1,240 level crossings, over 4,900 cuttings and embankments and 14 tunnels. The railway is mainly single track, with 886km of double track and 60km of multiple </w:t>
      </w:r>
      <w:proofErr w:type="gramStart"/>
      <w:r w:rsidRPr="00B32D7E">
        <w:rPr>
          <w:rFonts w:eastAsiaTheme="minorEastAsia" w:cstheme="minorHAnsi"/>
          <w:lang w:eastAsia="en-IE"/>
        </w:rPr>
        <w:t>track</w:t>
      </w:r>
      <w:proofErr w:type="gramEnd"/>
      <w:r w:rsidRPr="00B32D7E">
        <w:rPr>
          <w:rFonts w:eastAsiaTheme="minorEastAsia" w:cstheme="minorHAnsi"/>
          <w:lang w:eastAsia="en-IE"/>
        </w:rPr>
        <w:t xml:space="preserve">. </w:t>
      </w:r>
    </w:p>
    <w:p w:rsidR="000A6354" w:rsidRPr="00B32D7E" w:rsidRDefault="000A6354" w:rsidP="000A6354">
      <w:pPr>
        <w:spacing w:after="0"/>
        <w:jc w:val="both"/>
        <w:rPr>
          <w:rFonts w:eastAsiaTheme="minorEastAsia" w:cstheme="minorHAnsi"/>
          <w:lang w:eastAsia="en-IE"/>
        </w:rPr>
      </w:pPr>
    </w:p>
    <w:p w:rsidR="000A6354" w:rsidRPr="00B32D7E" w:rsidRDefault="00894673" w:rsidP="000A6354">
      <w:pPr>
        <w:spacing w:after="0"/>
        <w:jc w:val="both"/>
        <w:rPr>
          <w:rFonts w:eastAsiaTheme="minorEastAsia" w:cstheme="minorHAnsi"/>
          <w:lang w:eastAsia="en-IE"/>
        </w:rPr>
      </w:pPr>
      <w:r>
        <w:rPr>
          <w:rFonts w:eastAsiaTheme="minorEastAsia" w:cstheme="minorHAnsi"/>
          <w:lang w:eastAsia="en-IE"/>
        </w:rPr>
        <w:t>Cumulatively,</w:t>
      </w:r>
      <w:r w:rsidR="000A6354" w:rsidRPr="00B32D7E">
        <w:rPr>
          <w:rFonts w:eastAsiaTheme="minorEastAsia" w:cstheme="minorHAnsi"/>
          <w:lang w:eastAsia="en-IE"/>
        </w:rPr>
        <w:t xml:space="preserve"> around 50% of the national population</w:t>
      </w:r>
      <w:r>
        <w:rPr>
          <w:rFonts w:eastAsiaTheme="minorEastAsia" w:cstheme="minorHAnsi"/>
          <w:lang w:eastAsia="en-IE"/>
        </w:rPr>
        <w:t xml:space="preserve"> or some </w:t>
      </w:r>
      <w:r w:rsidRPr="00B32D7E">
        <w:rPr>
          <w:rFonts w:eastAsiaTheme="minorEastAsia" w:cstheme="minorHAnsi"/>
          <w:lang w:eastAsia="en-IE"/>
        </w:rPr>
        <w:t>2</w:t>
      </w:r>
      <w:r w:rsidR="00A2222B">
        <w:rPr>
          <w:rFonts w:eastAsiaTheme="minorEastAsia" w:cstheme="minorHAnsi"/>
          <w:lang w:eastAsia="en-IE"/>
        </w:rPr>
        <w:t xml:space="preserve">.3 million </w:t>
      </w:r>
      <w:r>
        <w:rPr>
          <w:rFonts w:eastAsiaTheme="minorEastAsia" w:cstheme="minorHAnsi"/>
          <w:lang w:eastAsia="en-IE"/>
        </w:rPr>
        <w:t xml:space="preserve">people live in settlements served by </w:t>
      </w:r>
      <w:r w:rsidR="00860419">
        <w:rPr>
          <w:rFonts w:eastAsiaTheme="minorEastAsia" w:cstheme="minorHAnsi"/>
          <w:lang w:eastAsia="en-IE"/>
        </w:rPr>
        <w:t xml:space="preserve">heavy </w:t>
      </w:r>
      <w:r>
        <w:rPr>
          <w:rFonts w:eastAsiaTheme="minorEastAsia" w:cstheme="minorHAnsi"/>
          <w:lang w:eastAsia="en-IE"/>
        </w:rPr>
        <w:t xml:space="preserve">rail. </w:t>
      </w:r>
      <w:r w:rsidR="00D06C4E">
        <w:rPr>
          <w:rFonts w:eastAsiaTheme="minorEastAsia" w:cstheme="minorHAnsi"/>
          <w:lang w:eastAsia="en-IE"/>
        </w:rPr>
        <w:t xml:space="preserve"> </w:t>
      </w:r>
      <w:r w:rsidR="000A6354" w:rsidRPr="00B32D7E">
        <w:rPr>
          <w:rFonts w:eastAsiaTheme="minorEastAsia" w:cstheme="minorHAnsi"/>
          <w:lang w:eastAsia="en-IE"/>
        </w:rPr>
        <w:t xml:space="preserve">The network includes main lines, regional lines, Dublin suburban (DART) and commuter passenger routes, and Cork Suburban routes, together with freight-only routes. </w:t>
      </w:r>
    </w:p>
    <w:p w:rsidR="000A6354" w:rsidRPr="00B32D7E" w:rsidRDefault="000A6354" w:rsidP="000A6354">
      <w:pPr>
        <w:spacing w:after="0"/>
        <w:jc w:val="both"/>
        <w:rPr>
          <w:rFonts w:eastAsiaTheme="minorEastAsia" w:cstheme="minorHAnsi"/>
          <w:lang w:eastAsia="en-IE"/>
        </w:rPr>
      </w:pPr>
    </w:p>
    <w:p w:rsidR="000A6354" w:rsidRPr="00B32D7E" w:rsidRDefault="000A6354" w:rsidP="000A6354">
      <w:pPr>
        <w:spacing w:after="0"/>
        <w:jc w:val="both"/>
        <w:rPr>
          <w:rFonts w:eastAsiaTheme="minorEastAsia" w:cstheme="minorHAnsi"/>
          <w:lang w:eastAsia="en-IE"/>
        </w:rPr>
      </w:pPr>
      <w:r w:rsidRPr="00B32D7E">
        <w:rPr>
          <w:rFonts w:eastAsiaTheme="minorEastAsia" w:cstheme="minorHAnsi"/>
          <w:lang w:eastAsia="en-IE"/>
        </w:rPr>
        <w:t xml:space="preserve">The majority of the network is comprised of radial lines focused on Dublin. The network largely provides for inter-urban connections offering strategic transport links at the national level between Dublin and other key cities on the island, namely, Cork, Galway, Limerick, Waterford and Belfast as well as linking to smaller cities and large towns which have strong regional functions in particular Sligo, Tralee and Wexford. In addition there are regional lines, </w:t>
      </w:r>
      <w:r w:rsidR="00894673">
        <w:rPr>
          <w:rFonts w:eastAsiaTheme="minorEastAsia" w:cstheme="minorHAnsi"/>
          <w:lang w:eastAsia="en-IE"/>
        </w:rPr>
        <w:t xml:space="preserve">linking </w:t>
      </w:r>
      <w:r w:rsidRPr="00B32D7E">
        <w:rPr>
          <w:rFonts w:eastAsiaTheme="minorEastAsia" w:cstheme="minorHAnsi"/>
          <w:lang w:eastAsia="en-IE"/>
        </w:rPr>
        <w:t xml:space="preserve">smaller settlements </w:t>
      </w:r>
      <w:r w:rsidR="00894673">
        <w:rPr>
          <w:rFonts w:eastAsiaTheme="minorEastAsia" w:cstheme="minorHAnsi"/>
          <w:lang w:eastAsia="en-IE"/>
        </w:rPr>
        <w:t xml:space="preserve">to each other and to a </w:t>
      </w:r>
      <w:r w:rsidRPr="00B32D7E">
        <w:rPr>
          <w:rFonts w:eastAsiaTheme="minorEastAsia" w:cstheme="minorHAnsi"/>
          <w:lang w:eastAsia="en-IE"/>
        </w:rPr>
        <w:t xml:space="preserve">number of the regional cities. These include the Galway to Limerick, Waterford to Limerick Junction and Limerick to Ballybrophy lines. </w:t>
      </w:r>
    </w:p>
    <w:p w:rsidR="000A6354" w:rsidRPr="00B32D7E" w:rsidRDefault="000A6354" w:rsidP="000A6354">
      <w:pPr>
        <w:spacing w:after="0"/>
        <w:jc w:val="both"/>
        <w:rPr>
          <w:rFonts w:eastAsiaTheme="minorEastAsia" w:cstheme="minorHAnsi"/>
          <w:lang w:eastAsia="en-IE"/>
        </w:rPr>
      </w:pPr>
    </w:p>
    <w:p w:rsidR="000A6354" w:rsidRDefault="002C24C9" w:rsidP="000A6354">
      <w:pPr>
        <w:spacing w:after="0"/>
        <w:jc w:val="both"/>
        <w:rPr>
          <w:rFonts w:eastAsiaTheme="minorEastAsia" w:cstheme="minorHAnsi"/>
          <w:lang w:eastAsia="en-IE"/>
        </w:rPr>
      </w:pPr>
      <w:r>
        <w:rPr>
          <w:rFonts w:eastAsiaTheme="minorEastAsia" w:cstheme="minorHAnsi"/>
          <w:lang w:eastAsia="en-IE"/>
        </w:rPr>
        <w:t>U</w:t>
      </w:r>
      <w:r w:rsidR="000A6354" w:rsidRPr="00B32D7E">
        <w:rPr>
          <w:rFonts w:eastAsiaTheme="minorEastAsia" w:cstheme="minorHAnsi"/>
          <w:lang w:eastAsia="en-IE"/>
        </w:rPr>
        <w:t xml:space="preserve">rban </w:t>
      </w:r>
      <w:r w:rsidR="00860419">
        <w:rPr>
          <w:rFonts w:eastAsiaTheme="minorEastAsia" w:cstheme="minorHAnsi"/>
          <w:lang w:eastAsia="en-IE"/>
        </w:rPr>
        <w:t xml:space="preserve">heavy </w:t>
      </w:r>
      <w:r w:rsidR="000A6354" w:rsidRPr="00B32D7E">
        <w:rPr>
          <w:rFonts w:eastAsiaTheme="minorEastAsia" w:cstheme="minorHAnsi"/>
          <w:lang w:eastAsia="en-IE"/>
        </w:rPr>
        <w:t xml:space="preserve">rail is also extensive within the Dublin area with DART providing a core high capacity </w:t>
      </w:r>
      <w:r w:rsidR="00894673">
        <w:rPr>
          <w:rFonts w:eastAsiaTheme="minorEastAsia" w:cstheme="minorHAnsi"/>
          <w:lang w:eastAsia="en-IE"/>
        </w:rPr>
        <w:t>electri</w:t>
      </w:r>
      <w:r w:rsidR="00985045">
        <w:rPr>
          <w:rFonts w:eastAsiaTheme="minorEastAsia" w:cstheme="minorHAnsi"/>
          <w:lang w:eastAsia="en-IE"/>
        </w:rPr>
        <w:t>fied</w:t>
      </w:r>
      <w:r w:rsidR="00894673">
        <w:rPr>
          <w:rFonts w:eastAsiaTheme="minorEastAsia" w:cstheme="minorHAnsi"/>
          <w:lang w:eastAsia="en-IE"/>
        </w:rPr>
        <w:t xml:space="preserve"> </w:t>
      </w:r>
      <w:r w:rsidR="000A6354" w:rsidRPr="00B32D7E">
        <w:rPr>
          <w:rFonts w:eastAsiaTheme="minorEastAsia" w:cstheme="minorHAnsi"/>
          <w:lang w:eastAsia="en-IE"/>
        </w:rPr>
        <w:t xml:space="preserve">network </w:t>
      </w:r>
      <w:r w:rsidR="00894673">
        <w:rPr>
          <w:rFonts w:eastAsiaTheme="minorEastAsia" w:cstheme="minorHAnsi"/>
          <w:lang w:eastAsia="en-IE"/>
        </w:rPr>
        <w:t xml:space="preserve">of services </w:t>
      </w:r>
      <w:r w:rsidR="000A6354" w:rsidRPr="00B32D7E">
        <w:rPr>
          <w:rFonts w:eastAsiaTheme="minorEastAsia" w:cstheme="minorHAnsi"/>
          <w:lang w:eastAsia="en-IE"/>
        </w:rPr>
        <w:t xml:space="preserve">that is central to the region’s mass transit system. </w:t>
      </w:r>
      <w:r w:rsidR="00805756" w:rsidRPr="00B32D7E">
        <w:rPr>
          <w:rFonts w:eastAsiaTheme="minorEastAsia" w:cstheme="minorHAnsi"/>
          <w:lang w:eastAsia="en-IE"/>
        </w:rPr>
        <w:t xml:space="preserve"> </w:t>
      </w:r>
      <w:r w:rsidR="000A6354" w:rsidRPr="00B32D7E">
        <w:rPr>
          <w:rFonts w:eastAsiaTheme="minorEastAsia" w:cstheme="minorHAnsi"/>
          <w:lang w:eastAsia="en-IE"/>
        </w:rPr>
        <w:t xml:space="preserve">Cork also has a suburban </w:t>
      </w:r>
      <w:r w:rsidR="00860419">
        <w:rPr>
          <w:rFonts w:eastAsiaTheme="minorEastAsia" w:cstheme="minorHAnsi"/>
          <w:lang w:eastAsia="en-IE"/>
        </w:rPr>
        <w:t xml:space="preserve">heavy </w:t>
      </w:r>
      <w:r w:rsidR="000A6354" w:rsidRPr="00B32D7E">
        <w:rPr>
          <w:rFonts w:eastAsiaTheme="minorEastAsia" w:cstheme="minorHAnsi"/>
          <w:lang w:eastAsia="en-IE"/>
        </w:rPr>
        <w:t xml:space="preserve">rail network which consists of </w:t>
      </w:r>
      <w:r w:rsidR="00935645">
        <w:rPr>
          <w:rFonts w:eastAsiaTheme="minorEastAsia" w:cstheme="minorHAnsi"/>
          <w:lang w:eastAsia="en-IE"/>
        </w:rPr>
        <w:t xml:space="preserve">a </w:t>
      </w:r>
      <w:r w:rsidR="000A6354" w:rsidRPr="00B32D7E">
        <w:rPr>
          <w:rFonts w:eastAsiaTheme="minorEastAsia" w:cstheme="minorHAnsi"/>
          <w:lang w:eastAsia="en-IE"/>
        </w:rPr>
        <w:t xml:space="preserve">line linking from Mallow, through Cork City </w:t>
      </w:r>
      <w:r w:rsidR="00C27E32">
        <w:rPr>
          <w:rFonts w:eastAsiaTheme="minorEastAsia" w:cstheme="minorHAnsi"/>
          <w:lang w:eastAsia="en-IE"/>
        </w:rPr>
        <w:t xml:space="preserve">branching at Glounthane to serve both </w:t>
      </w:r>
      <w:r w:rsidR="000A6354" w:rsidRPr="00B32D7E">
        <w:rPr>
          <w:rFonts w:eastAsiaTheme="minorEastAsia" w:cstheme="minorHAnsi"/>
          <w:lang w:eastAsia="en-IE"/>
        </w:rPr>
        <w:t>Midleton and Cobh</w:t>
      </w:r>
      <w:r w:rsidR="00C27E32">
        <w:rPr>
          <w:rFonts w:eastAsiaTheme="minorEastAsia" w:cstheme="minorHAnsi"/>
          <w:lang w:eastAsia="en-IE"/>
        </w:rPr>
        <w:t xml:space="preserve">. </w:t>
      </w:r>
    </w:p>
    <w:p w:rsidR="000A6354" w:rsidRPr="00B32D7E" w:rsidRDefault="000A6354" w:rsidP="000A6354">
      <w:pPr>
        <w:spacing w:after="0"/>
        <w:jc w:val="center"/>
        <w:rPr>
          <w:rFonts w:eastAsiaTheme="minorEastAsia" w:cstheme="minorHAnsi"/>
          <w:b/>
          <w:sz w:val="20"/>
          <w:szCs w:val="20"/>
          <w:lang w:eastAsia="en-IE"/>
        </w:rPr>
      </w:pPr>
    </w:p>
    <w:p w:rsidR="00B92D84" w:rsidRDefault="0061678A" w:rsidP="00650D3E">
      <w:pPr>
        <w:pStyle w:val="Heading2"/>
        <w:jc w:val="both"/>
      </w:pPr>
      <w:bookmarkStart w:id="7" w:name="_Toc416710821"/>
      <w:r w:rsidRPr="006C76BC">
        <w:rPr>
          <w:rFonts w:eastAsiaTheme="minorEastAsia" w:cstheme="minorHAnsi"/>
          <w:b w:val="0"/>
          <w:noProof/>
        </w:rPr>
        <w:lastRenderedPageBreak/>
        <w:drawing>
          <wp:inline distT="0" distB="0" distL="0" distR="0" wp14:anchorId="30DE7EBC" wp14:editId="62B0CBFC">
            <wp:extent cx="5727612" cy="7010400"/>
            <wp:effectExtent l="0" t="0" r="6985" b="0"/>
            <wp:docPr id="36" name="Picture 36" descr="D:\Users\paul.mcgartoll\AppData\Local\Microsoft\Windows\Temporary Internet Files\Content.Outlook\BULSS0LJ\Network Map  2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Users\paul.mcgartoll\AppData\Local\Microsoft\Windows\Temporary Internet Files\Content.Outlook\BULSS0LJ\Network Map  2013.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31510" cy="7015171"/>
                    </a:xfrm>
                    <a:prstGeom prst="rect">
                      <a:avLst/>
                    </a:prstGeom>
                    <a:noFill/>
                    <a:ln>
                      <a:noFill/>
                    </a:ln>
                  </pic:spPr>
                </pic:pic>
              </a:graphicData>
            </a:graphic>
          </wp:inline>
        </w:drawing>
      </w:r>
    </w:p>
    <w:p w:rsidR="008674AD" w:rsidRPr="00B32D7E" w:rsidRDefault="00547074" w:rsidP="00650D3E">
      <w:pPr>
        <w:pStyle w:val="Heading2"/>
        <w:jc w:val="both"/>
      </w:pPr>
      <w:r w:rsidRPr="00B32D7E">
        <w:t>2</w:t>
      </w:r>
      <w:r w:rsidR="0071651D" w:rsidRPr="00B32D7E">
        <w:t>.2</w:t>
      </w:r>
      <w:r w:rsidR="0071651D" w:rsidRPr="00B32D7E">
        <w:tab/>
        <w:t>Passengers</w:t>
      </w:r>
      <w:bookmarkEnd w:id="7"/>
      <w:r w:rsidR="005419E2">
        <w:t xml:space="preserve"> </w:t>
      </w:r>
    </w:p>
    <w:p w:rsidR="00894673" w:rsidRDefault="003A1D5C" w:rsidP="003A1D5C">
      <w:pPr>
        <w:jc w:val="both"/>
      </w:pPr>
      <w:r w:rsidRPr="001F07DA">
        <w:t>In 2015</w:t>
      </w:r>
      <w:r w:rsidR="00C27E32">
        <w:t>,</w:t>
      </w:r>
      <w:r w:rsidRPr="001F07DA">
        <w:t xml:space="preserve"> a total of 248</w:t>
      </w:r>
      <w:r>
        <w:t xml:space="preserve"> </w:t>
      </w:r>
      <w:r w:rsidRPr="001F07DA">
        <w:t xml:space="preserve">million </w:t>
      </w:r>
      <w:r w:rsidR="00671EC5">
        <w:t>passenger journeys</w:t>
      </w:r>
      <w:r w:rsidR="005419E2">
        <w:t xml:space="preserve"> </w:t>
      </w:r>
      <w:r w:rsidRPr="001F07DA">
        <w:t xml:space="preserve">were made across Ireland's public transport network. 16% of those </w:t>
      </w:r>
      <w:r w:rsidR="005419E2">
        <w:t xml:space="preserve">were made by </w:t>
      </w:r>
      <w:r w:rsidR="00860419">
        <w:t xml:space="preserve">heavy </w:t>
      </w:r>
      <w:r w:rsidR="005419E2">
        <w:t>rail, or some 39 m</w:t>
      </w:r>
      <w:r w:rsidR="000A2784">
        <w:t>illion</w:t>
      </w:r>
      <w:r w:rsidR="005419E2">
        <w:t xml:space="preserve"> </w:t>
      </w:r>
      <w:r w:rsidRPr="001F07DA">
        <w:t>journeys</w:t>
      </w:r>
      <w:r w:rsidR="00894673">
        <w:t xml:space="preserve">. </w:t>
      </w:r>
      <w:r w:rsidRPr="001F07DA">
        <w:t xml:space="preserve"> Of those</w:t>
      </w:r>
      <w:r w:rsidR="00985045">
        <w:t>:</w:t>
      </w:r>
    </w:p>
    <w:p w:rsidR="00894673" w:rsidRDefault="003A1D5C" w:rsidP="00A11523">
      <w:pPr>
        <w:pStyle w:val="ListParagraph"/>
        <w:numPr>
          <w:ilvl w:val="0"/>
          <w:numId w:val="45"/>
        </w:numPr>
        <w:jc w:val="both"/>
      </w:pPr>
      <w:r w:rsidRPr="001F07DA">
        <w:t xml:space="preserve">70% </w:t>
      </w:r>
      <w:r w:rsidR="00894673">
        <w:t xml:space="preserve">were on </w:t>
      </w:r>
      <w:r>
        <w:t xml:space="preserve">DART </w:t>
      </w:r>
      <w:r w:rsidRPr="001F07DA">
        <w:t xml:space="preserve">and Dublin Commuter Rail networks, </w:t>
      </w:r>
    </w:p>
    <w:p w:rsidR="00894673" w:rsidRDefault="003A1D5C" w:rsidP="00A11523">
      <w:pPr>
        <w:pStyle w:val="ListParagraph"/>
        <w:numPr>
          <w:ilvl w:val="0"/>
          <w:numId w:val="45"/>
        </w:numPr>
        <w:jc w:val="both"/>
      </w:pPr>
      <w:r w:rsidRPr="001F07DA">
        <w:t xml:space="preserve">26% were on the Inter-City main lines, </w:t>
      </w:r>
    </w:p>
    <w:p w:rsidR="00894673" w:rsidRDefault="003A1D5C" w:rsidP="00A11523">
      <w:pPr>
        <w:pStyle w:val="ListParagraph"/>
        <w:numPr>
          <w:ilvl w:val="0"/>
          <w:numId w:val="45"/>
        </w:numPr>
        <w:jc w:val="both"/>
      </w:pPr>
      <w:r w:rsidRPr="001F07DA">
        <w:t xml:space="preserve">almost 3% </w:t>
      </w:r>
      <w:r w:rsidR="00C27E32">
        <w:t xml:space="preserve">were </w:t>
      </w:r>
      <w:r w:rsidRPr="001F07DA">
        <w:t>on the Cork</w:t>
      </w:r>
      <w:r>
        <w:t xml:space="preserve"> </w:t>
      </w:r>
      <w:r w:rsidRPr="001F07DA">
        <w:t xml:space="preserve">Suburban network and </w:t>
      </w:r>
    </w:p>
    <w:p w:rsidR="00894673" w:rsidRDefault="003A1D5C" w:rsidP="00A11523">
      <w:pPr>
        <w:pStyle w:val="ListParagraph"/>
        <w:numPr>
          <w:ilvl w:val="0"/>
          <w:numId w:val="45"/>
        </w:numPr>
        <w:jc w:val="both"/>
      </w:pPr>
      <w:proofErr w:type="gramStart"/>
      <w:r w:rsidRPr="001F07DA">
        <w:t>approximately</w:t>
      </w:r>
      <w:proofErr w:type="gramEnd"/>
      <w:r w:rsidRPr="001F07DA">
        <w:t xml:space="preserve"> 0.4% </w:t>
      </w:r>
      <w:r w:rsidR="00C27E32">
        <w:t xml:space="preserve">were </w:t>
      </w:r>
      <w:r w:rsidRPr="001F07DA">
        <w:t>on regional mainline services.</w:t>
      </w:r>
      <w:r>
        <w:t xml:space="preserve"> </w:t>
      </w:r>
    </w:p>
    <w:p w:rsidR="003A1D5C" w:rsidRPr="001F07DA" w:rsidRDefault="00860419" w:rsidP="007118D0">
      <w:pPr>
        <w:jc w:val="both"/>
      </w:pPr>
      <w:r>
        <w:lastRenderedPageBreak/>
        <w:t>Heavy r</w:t>
      </w:r>
      <w:r w:rsidR="003A1D5C" w:rsidRPr="001F07DA">
        <w:t>ail usage peaked in 2007</w:t>
      </w:r>
      <w:r w:rsidR="003A1D5C">
        <w:t xml:space="preserve"> </w:t>
      </w:r>
      <w:r w:rsidR="003A1D5C" w:rsidRPr="001F07DA">
        <w:t>when 45.5</w:t>
      </w:r>
      <w:r w:rsidR="00DF2F68">
        <w:t xml:space="preserve"> </w:t>
      </w:r>
      <w:r w:rsidR="003A1D5C" w:rsidRPr="001F07DA">
        <w:t>million passenger journey</w:t>
      </w:r>
      <w:r w:rsidR="00DF2F68">
        <w:t>s</w:t>
      </w:r>
      <w:r w:rsidR="003A1D5C" w:rsidRPr="001F07DA">
        <w:t xml:space="preserve"> were recorded; however, figures fell year on year until 2012.</w:t>
      </w:r>
      <w:r w:rsidR="003A1D5C">
        <w:t xml:space="preserve"> </w:t>
      </w:r>
      <w:r w:rsidR="003A1D5C" w:rsidRPr="001F07DA">
        <w:t>Since 2012</w:t>
      </w:r>
      <w:r w:rsidR="000A2784">
        <w:t>,</w:t>
      </w:r>
      <w:r w:rsidR="003A1D5C" w:rsidRPr="001F07DA">
        <w:t xml:space="preserve"> passenger journeys have increased by approximately 8% and 2016 is expected to record</w:t>
      </w:r>
      <w:r w:rsidR="003A1D5C">
        <w:t xml:space="preserve"> </w:t>
      </w:r>
      <w:r w:rsidR="003A1D5C" w:rsidRPr="001F07DA">
        <w:t>another year of passenger journey growth.</w:t>
      </w:r>
      <w:r w:rsidR="00894673">
        <w:t xml:space="preserve"> </w:t>
      </w:r>
    </w:p>
    <w:p w:rsidR="00860419" w:rsidRDefault="00650D3E" w:rsidP="00A11523">
      <w:pPr>
        <w:jc w:val="both"/>
        <w:rPr>
          <w:lang w:eastAsia="en-IE"/>
        </w:rPr>
      </w:pPr>
      <w:r w:rsidRPr="00B32D7E">
        <w:rPr>
          <w:lang w:eastAsia="en-IE"/>
        </w:rPr>
        <w:t xml:space="preserve">There is a </w:t>
      </w:r>
      <w:r w:rsidR="008F22B0" w:rsidRPr="00B32D7E">
        <w:rPr>
          <w:lang w:eastAsia="en-IE"/>
        </w:rPr>
        <w:t>large</w:t>
      </w:r>
      <w:r w:rsidRPr="00B32D7E">
        <w:rPr>
          <w:lang w:eastAsia="en-IE"/>
        </w:rPr>
        <w:t xml:space="preserve"> variation in passenger </w:t>
      </w:r>
      <w:r w:rsidR="00894673">
        <w:rPr>
          <w:lang w:eastAsia="en-IE"/>
        </w:rPr>
        <w:t xml:space="preserve">activity across the </w:t>
      </w:r>
      <w:r w:rsidRPr="00B32D7E">
        <w:rPr>
          <w:lang w:eastAsia="en-IE"/>
        </w:rPr>
        <w:t>147 stations</w:t>
      </w:r>
      <w:r w:rsidR="00D227CC">
        <w:rPr>
          <w:lang w:eastAsia="en-IE"/>
        </w:rPr>
        <w:t xml:space="preserve"> on the heavy rail network</w:t>
      </w:r>
      <w:r w:rsidRPr="00B32D7E">
        <w:rPr>
          <w:lang w:eastAsia="en-IE"/>
        </w:rPr>
        <w:t>. 28 stations generated less than 100 journeys in a day</w:t>
      </w:r>
      <w:r w:rsidR="00E4447F" w:rsidRPr="00B32D7E">
        <w:rPr>
          <w:lang w:eastAsia="en-IE"/>
        </w:rPr>
        <w:t xml:space="preserve"> </w:t>
      </w:r>
      <w:r w:rsidR="00894673">
        <w:rPr>
          <w:lang w:eastAsia="en-IE"/>
        </w:rPr>
        <w:t xml:space="preserve">as recorded </w:t>
      </w:r>
      <w:r w:rsidR="00E4447F" w:rsidRPr="00B32D7E">
        <w:rPr>
          <w:lang w:eastAsia="en-IE"/>
        </w:rPr>
        <w:t>on the 2015 rail census</w:t>
      </w:r>
      <w:r w:rsidR="00C27E32">
        <w:rPr>
          <w:lang w:eastAsia="en-IE"/>
        </w:rPr>
        <w:t xml:space="preserve">. </w:t>
      </w:r>
      <w:r w:rsidRPr="00B32D7E">
        <w:rPr>
          <w:lang w:eastAsia="en-IE"/>
        </w:rPr>
        <w:t>Approximately 8</w:t>
      </w:r>
      <w:r w:rsidR="00AF5E03" w:rsidRPr="00B32D7E">
        <w:rPr>
          <w:lang w:eastAsia="en-IE"/>
        </w:rPr>
        <w:t>4</w:t>
      </w:r>
      <w:r w:rsidRPr="00B32D7E">
        <w:rPr>
          <w:lang w:eastAsia="en-IE"/>
        </w:rPr>
        <w:t xml:space="preserve">% of the passengers </w:t>
      </w:r>
      <w:r w:rsidR="00894673">
        <w:rPr>
          <w:lang w:eastAsia="en-IE"/>
        </w:rPr>
        <w:t xml:space="preserve">carried </w:t>
      </w:r>
      <w:r w:rsidRPr="00B32D7E">
        <w:rPr>
          <w:lang w:eastAsia="en-IE"/>
        </w:rPr>
        <w:t xml:space="preserve">used stations in the Greater Dublin Area (Dublin, Kildare, Meath and Wicklow) which had 9 of the 10 busiest stations in the country. </w:t>
      </w:r>
      <w:r w:rsidR="00894673">
        <w:rPr>
          <w:lang w:eastAsia="en-IE"/>
        </w:rPr>
        <w:t xml:space="preserve">The remaining station in the Top 10 was </w:t>
      </w:r>
      <w:r w:rsidRPr="00B32D7E">
        <w:rPr>
          <w:lang w:eastAsia="en-IE"/>
        </w:rPr>
        <w:t xml:space="preserve">Kent </w:t>
      </w:r>
      <w:r w:rsidR="00894673">
        <w:rPr>
          <w:lang w:eastAsia="en-IE"/>
        </w:rPr>
        <w:t>S</w:t>
      </w:r>
      <w:r w:rsidRPr="00B32D7E">
        <w:rPr>
          <w:lang w:eastAsia="en-IE"/>
        </w:rPr>
        <w:t>tation</w:t>
      </w:r>
      <w:r w:rsidR="00894673">
        <w:rPr>
          <w:lang w:eastAsia="en-IE"/>
        </w:rPr>
        <w:t xml:space="preserve">, Cork.  </w:t>
      </w:r>
      <w:bookmarkStart w:id="8" w:name="_Toc416710822"/>
      <w:r w:rsidR="00043FE5">
        <w:rPr>
          <w:lang w:eastAsia="en-IE"/>
        </w:rPr>
        <w:t xml:space="preserve">Section 2.2 of the Rail Review and section 3 of Appendix 1 to the Rail review provides further detail on </w:t>
      </w:r>
      <w:proofErr w:type="gramStart"/>
      <w:r w:rsidR="00B6197B">
        <w:rPr>
          <w:lang w:eastAsia="en-IE"/>
        </w:rPr>
        <w:t xml:space="preserve">rail  </w:t>
      </w:r>
      <w:r w:rsidR="00043FE5">
        <w:rPr>
          <w:lang w:eastAsia="en-IE"/>
        </w:rPr>
        <w:t>passenger</w:t>
      </w:r>
      <w:proofErr w:type="gramEnd"/>
      <w:r w:rsidR="00043FE5">
        <w:rPr>
          <w:lang w:eastAsia="en-IE"/>
        </w:rPr>
        <w:t xml:space="preserve"> demand .</w:t>
      </w:r>
    </w:p>
    <w:p w:rsidR="00650D3E" w:rsidRPr="005A333C" w:rsidRDefault="00547074" w:rsidP="00860419">
      <w:pPr>
        <w:jc w:val="both"/>
        <w:rPr>
          <w:b/>
          <w:sz w:val="24"/>
          <w:szCs w:val="24"/>
        </w:rPr>
      </w:pPr>
      <w:r w:rsidRPr="005A333C">
        <w:rPr>
          <w:b/>
          <w:sz w:val="24"/>
          <w:szCs w:val="24"/>
        </w:rPr>
        <w:t>2</w:t>
      </w:r>
      <w:r w:rsidR="00320781" w:rsidRPr="005A333C">
        <w:rPr>
          <w:b/>
          <w:sz w:val="24"/>
          <w:szCs w:val="24"/>
        </w:rPr>
        <w:t>.3</w:t>
      </w:r>
      <w:r w:rsidR="000866C8" w:rsidRPr="005A333C">
        <w:rPr>
          <w:b/>
          <w:sz w:val="24"/>
          <w:szCs w:val="24"/>
        </w:rPr>
        <w:t xml:space="preserve"> </w:t>
      </w:r>
      <w:r w:rsidR="00650D3E" w:rsidRPr="005A333C">
        <w:rPr>
          <w:b/>
          <w:sz w:val="24"/>
          <w:szCs w:val="24"/>
        </w:rPr>
        <w:t>Rail’s contribution</w:t>
      </w:r>
      <w:bookmarkEnd w:id="8"/>
      <w:r w:rsidR="00894673" w:rsidRPr="005A333C">
        <w:rPr>
          <w:b/>
          <w:sz w:val="24"/>
          <w:szCs w:val="24"/>
        </w:rPr>
        <w:t xml:space="preserve"> to transport </w:t>
      </w:r>
      <w:r w:rsidR="00C27E32" w:rsidRPr="005A333C">
        <w:rPr>
          <w:b/>
          <w:sz w:val="24"/>
          <w:szCs w:val="24"/>
        </w:rPr>
        <w:t>in Ireland</w:t>
      </w:r>
    </w:p>
    <w:p w:rsidR="008F22B0" w:rsidRPr="00B32D7E" w:rsidRDefault="008F22B0" w:rsidP="00650D3E">
      <w:pPr>
        <w:jc w:val="both"/>
      </w:pPr>
      <w:r w:rsidRPr="00B32D7E">
        <w:t xml:space="preserve">The current strengths of the </w:t>
      </w:r>
      <w:r w:rsidR="00860419">
        <w:t xml:space="preserve">heavy </w:t>
      </w:r>
      <w:r w:rsidRPr="00B32D7E">
        <w:t xml:space="preserve">rail network are in providing for travel demand within Ireland’s largest urban area (Dublin) serving </w:t>
      </w:r>
      <w:r w:rsidR="00434318">
        <w:t xml:space="preserve">densely populated areas generating high levels of demand for </w:t>
      </w:r>
      <w:r w:rsidRPr="00B32D7E">
        <w:t>commut</w:t>
      </w:r>
      <w:r w:rsidR="00434318">
        <w:t xml:space="preserve">ing </w:t>
      </w:r>
      <w:r w:rsidR="008C56B3" w:rsidRPr="00B32D7E">
        <w:t xml:space="preserve"> and</w:t>
      </w:r>
      <w:r w:rsidRPr="00B32D7E">
        <w:t xml:space="preserve"> in providing for strategic inter-urban link</w:t>
      </w:r>
      <w:r w:rsidR="00434318">
        <w:t>s</w:t>
      </w:r>
      <w:r w:rsidRPr="00B32D7E">
        <w:t xml:space="preserve"> between Dublin and the other cities and regional towns</w:t>
      </w:r>
      <w:r w:rsidR="00434318">
        <w:t xml:space="preserve">. </w:t>
      </w:r>
      <w:r w:rsidRPr="00B32D7E">
        <w:t xml:space="preserve"> </w:t>
      </w:r>
      <w:r w:rsidR="004C4843">
        <w:t xml:space="preserve">As demand for travel increases driven by economic and demographic growth, the contribution of rail to </w:t>
      </w:r>
      <w:r w:rsidR="00434318">
        <w:t xml:space="preserve">meeting this </w:t>
      </w:r>
      <w:r w:rsidR="004C4843">
        <w:t xml:space="preserve">demand sustainably will rise. </w:t>
      </w:r>
      <w:r w:rsidRPr="00B32D7E">
        <w:t xml:space="preserve"> </w:t>
      </w:r>
    </w:p>
    <w:p w:rsidR="00320781" w:rsidRPr="00B32D7E" w:rsidRDefault="00650D3E" w:rsidP="00650D3E">
      <w:pPr>
        <w:jc w:val="both"/>
        <w:rPr>
          <w:lang w:eastAsia="en-IE"/>
        </w:rPr>
      </w:pPr>
      <w:r w:rsidRPr="00B32D7E">
        <w:rPr>
          <w:lang w:eastAsia="en-IE"/>
        </w:rPr>
        <w:t xml:space="preserve">Rail </w:t>
      </w:r>
      <w:r w:rsidR="008F22B0" w:rsidRPr="00B32D7E">
        <w:rPr>
          <w:lang w:eastAsia="en-IE"/>
        </w:rPr>
        <w:t xml:space="preserve">also </w:t>
      </w:r>
      <w:r w:rsidRPr="00B32D7E">
        <w:rPr>
          <w:lang w:eastAsia="en-IE"/>
        </w:rPr>
        <w:t xml:space="preserve">provides </w:t>
      </w:r>
      <w:r w:rsidR="0038562F" w:rsidRPr="00B32D7E">
        <w:rPr>
          <w:lang w:eastAsia="en-IE"/>
        </w:rPr>
        <w:t>wide</w:t>
      </w:r>
      <w:r w:rsidR="00014AFF" w:rsidRPr="00B32D7E">
        <w:rPr>
          <w:lang w:eastAsia="en-IE"/>
        </w:rPr>
        <w:t>r</w:t>
      </w:r>
      <w:r w:rsidRPr="00B32D7E">
        <w:rPr>
          <w:lang w:eastAsia="en-IE"/>
        </w:rPr>
        <w:t xml:space="preserve"> benefits for society</w:t>
      </w:r>
      <w:r w:rsidR="004C4843">
        <w:rPr>
          <w:lang w:eastAsia="en-IE"/>
        </w:rPr>
        <w:t xml:space="preserve">. Rail travel </w:t>
      </w:r>
      <w:r w:rsidRPr="00B32D7E">
        <w:rPr>
          <w:lang w:eastAsia="en-IE"/>
        </w:rPr>
        <w:t xml:space="preserve">contributes to </w:t>
      </w:r>
      <w:r w:rsidR="00576F81" w:rsidRPr="00B32D7E">
        <w:rPr>
          <w:lang w:eastAsia="en-IE"/>
        </w:rPr>
        <w:t xml:space="preserve">the control of </w:t>
      </w:r>
      <w:r w:rsidRPr="00B32D7E">
        <w:rPr>
          <w:lang w:eastAsia="en-IE"/>
        </w:rPr>
        <w:t>national greenhouse gas emission</w:t>
      </w:r>
      <w:r w:rsidR="00576F81" w:rsidRPr="00B32D7E">
        <w:rPr>
          <w:lang w:eastAsia="en-IE"/>
        </w:rPr>
        <w:t>s</w:t>
      </w:r>
      <w:r w:rsidRPr="00B32D7E">
        <w:rPr>
          <w:lang w:eastAsia="en-IE"/>
        </w:rPr>
        <w:t xml:space="preserve"> </w:t>
      </w:r>
      <w:r w:rsidR="00320781" w:rsidRPr="00B32D7E">
        <w:rPr>
          <w:lang w:eastAsia="en-IE"/>
        </w:rPr>
        <w:t xml:space="preserve">by providing a sustainable </w:t>
      </w:r>
      <w:r w:rsidR="004C4843">
        <w:rPr>
          <w:lang w:eastAsia="en-IE"/>
        </w:rPr>
        <w:t xml:space="preserve">and attractive </w:t>
      </w:r>
      <w:r w:rsidR="00320781" w:rsidRPr="00B32D7E">
        <w:rPr>
          <w:lang w:eastAsia="en-IE"/>
        </w:rPr>
        <w:t>alternative to car travel</w:t>
      </w:r>
      <w:r w:rsidR="00576F81" w:rsidRPr="00B32D7E">
        <w:rPr>
          <w:lang w:eastAsia="en-IE"/>
        </w:rPr>
        <w:t>. It</w:t>
      </w:r>
      <w:r w:rsidR="00320781" w:rsidRPr="00B32D7E">
        <w:rPr>
          <w:lang w:eastAsia="en-IE"/>
        </w:rPr>
        <w:t xml:space="preserve"> </w:t>
      </w:r>
      <w:r w:rsidR="004C4843">
        <w:rPr>
          <w:lang w:eastAsia="en-IE"/>
        </w:rPr>
        <w:t xml:space="preserve">permits </w:t>
      </w:r>
      <w:r w:rsidR="00320781" w:rsidRPr="00B32D7E">
        <w:rPr>
          <w:lang w:eastAsia="en-IE"/>
        </w:rPr>
        <w:t>greater intensity of land development in cities and towns</w:t>
      </w:r>
      <w:r w:rsidR="0038562F" w:rsidRPr="00B32D7E">
        <w:rPr>
          <w:lang w:eastAsia="en-IE"/>
        </w:rPr>
        <w:t>, enabling more sustainable settlement patterns</w:t>
      </w:r>
      <w:r w:rsidR="002C24C9">
        <w:rPr>
          <w:lang w:eastAsia="en-IE"/>
        </w:rPr>
        <w:t xml:space="preserve"> to evolve</w:t>
      </w:r>
      <w:r w:rsidR="00320781" w:rsidRPr="00B32D7E">
        <w:rPr>
          <w:lang w:eastAsia="en-IE"/>
        </w:rPr>
        <w:t xml:space="preserve">. </w:t>
      </w:r>
      <w:r w:rsidR="007A53C6" w:rsidRPr="00B32D7E">
        <w:rPr>
          <w:lang w:eastAsia="en-IE"/>
        </w:rPr>
        <w:t xml:space="preserve">Rail </w:t>
      </w:r>
      <w:r w:rsidR="00DF2F68">
        <w:rPr>
          <w:lang w:eastAsia="en-IE"/>
        </w:rPr>
        <w:t xml:space="preserve">has improved greatly in recent years as a </w:t>
      </w:r>
      <w:r w:rsidR="00320781" w:rsidRPr="00B32D7E">
        <w:rPr>
          <w:lang w:eastAsia="en-IE"/>
        </w:rPr>
        <w:t>suitable mode for those who are mobility impaired</w:t>
      </w:r>
      <w:r w:rsidR="00043FE5">
        <w:rPr>
          <w:lang w:eastAsia="en-IE"/>
        </w:rPr>
        <w:t xml:space="preserve">. </w:t>
      </w:r>
      <w:r w:rsidR="007A53C6" w:rsidRPr="00B32D7E">
        <w:rPr>
          <w:lang w:eastAsia="en-IE"/>
        </w:rPr>
        <w:t xml:space="preserve"> </w:t>
      </w:r>
      <w:r w:rsidR="00043FE5">
        <w:rPr>
          <w:lang w:eastAsia="en-IE"/>
        </w:rPr>
        <w:t>Furthermore, each year more than 780,000 people</w:t>
      </w:r>
      <w:r w:rsidR="007A53C6" w:rsidRPr="00B32D7E">
        <w:rPr>
          <w:lang w:eastAsia="en-IE"/>
        </w:rPr>
        <w:t xml:space="preserve"> </w:t>
      </w:r>
      <w:r w:rsidR="00043FE5" w:rsidRPr="00B32D7E">
        <w:rPr>
          <w:lang w:eastAsia="en-IE"/>
        </w:rPr>
        <w:t xml:space="preserve">benefit from rail travel </w:t>
      </w:r>
      <w:r w:rsidR="00043FE5">
        <w:rPr>
          <w:lang w:eastAsia="en-IE"/>
        </w:rPr>
        <w:t>through</w:t>
      </w:r>
      <w:r w:rsidR="007A53C6" w:rsidRPr="00B32D7E">
        <w:rPr>
          <w:lang w:eastAsia="en-IE"/>
        </w:rPr>
        <w:t xml:space="preserve"> the Free Travel Scheme.</w:t>
      </w:r>
    </w:p>
    <w:p w:rsidR="00320781" w:rsidRDefault="00320781" w:rsidP="00650D3E">
      <w:pPr>
        <w:jc w:val="both"/>
        <w:rPr>
          <w:lang w:eastAsia="en-IE"/>
        </w:rPr>
      </w:pPr>
      <w:r w:rsidRPr="00B32D7E">
        <w:rPr>
          <w:lang w:eastAsia="en-IE"/>
        </w:rPr>
        <w:t xml:space="preserve">Rail travel is a particularly important </w:t>
      </w:r>
      <w:r w:rsidR="00985045">
        <w:rPr>
          <w:lang w:eastAsia="en-IE"/>
        </w:rPr>
        <w:t>facil</w:t>
      </w:r>
      <w:r w:rsidR="002735E4">
        <w:rPr>
          <w:lang w:eastAsia="en-IE"/>
        </w:rPr>
        <w:t>it</w:t>
      </w:r>
      <w:r w:rsidR="00985045">
        <w:rPr>
          <w:lang w:eastAsia="en-IE"/>
        </w:rPr>
        <w:t>ator</w:t>
      </w:r>
      <w:r w:rsidR="002735E4">
        <w:rPr>
          <w:lang w:eastAsia="en-IE"/>
        </w:rPr>
        <w:t xml:space="preserve"> </w:t>
      </w:r>
      <w:r w:rsidR="00E30AFE">
        <w:rPr>
          <w:lang w:eastAsia="en-IE"/>
        </w:rPr>
        <w:t>of the</w:t>
      </w:r>
      <w:r w:rsidR="004C4843">
        <w:rPr>
          <w:lang w:eastAsia="en-IE"/>
        </w:rPr>
        <w:t xml:space="preserve"> development of </w:t>
      </w:r>
      <w:r w:rsidRPr="00B32D7E">
        <w:rPr>
          <w:lang w:eastAsia="en-IE"/>
        </w:rPr>
        <w:t xml:space="preserve">national tourism.  </w:t>
      </w:r>
      <w:r w:rsidR="004C4843">
        <w:rPr>
          <w:lang w:eastAsia="en-IE"/>
        </w:rPr>
        <w:t xml:space="preserve">Rail </w:t>
      </w:r>
      <w:r w:rsidRPr="00B32D7E">
        <w:rPr>
          <w:lang w:eastAsia="en-IE"/>
        </w:rPr>
        <w:t>also supports economic activity by linking key cities and enabling efficient business-related travel. Rail offers a uniquely efficient freight option for certain products</w:t>
      </w:r>
      <w:r w:rsidR="002C24C9">
        <w:rPr>
          <w:lang w:eastAsia="en-IE"/>
        </w:rPr>
        <w:t xml:space="preserve"> and for raw materials for manufacture</w:t>
      </w:r>
      <w:r w:rsidR="004C4843">
        <w:rPr>
          <w:lang w:eastAsia="en-IE"/>
        </w:rPr>
        <w:t xml:space="preserve">. </w:t>
      </w:r>
    </w:p>
    <w:p w:rsidR="00F453D2" w:rsidRPr="00B32D7E" w:rsidRDefault="00F453D2" w:rsidP="00F453D2">
      <w:pPr>
        <w:pStyle w:val="Heading2"/>
      </w:pPr>
      <w:r>
        <w:t>2</w:t>
      </w:r>
      <w:r w:rsidRPr="00B32D7E">
        <w:t>.</w:t>
      </w:r>
      <w:r>
        <w:t>4</w:t>
      </w:r>
      <w:r w:rsidRPr="00B32D7E">
        <w:t xml:space="preserve"> </w:t>
      </w:r>
      <w:r>
        <w:t>Analysis of the costs of providing rail services</w:t>
      </w:r>
    </w:p>
    <w:p w:rsidR="00671EC5" w:rsidRDefault="002C24C9" w:rsidP="00F453D2">
      <w:pPr>
        <w:jc w:val="both"/>
      </w:pPr>
      <w:r>
        <w:t xml:space="preserve">In 2013, </w:t>
      </w:r>
      <w:r w:rsidR="00671EC5">
        <w:t>as req</w:t>
      </w:r>
      <w:r w:rsidR="00D520CC">
        <w:t>u</w:t>
      </w:r>
      <w:r w:rsidR="00671EC5">
        <w:t xml:space="preserve">ired by EU law, </w:t>
      </w:r>
      <w:r>
        <w:t xml:space="preserve"> two </w:t>
      </w:r>
      <w:r w:rsidR="00671EC5">
        <w:t xml:space="preserve">separate </w:t>
      </w:r>
      <w:r>
        <w:t xml:space="preserve">divisions </w:t>
      </w:r>
      <w:r w:rsidR="00671EC5">
        <w:t xml:space="preserve">were established </w:t>
      </w:r>
      <w:r>
        <w:t>within Iarnr</w:t>
      </w:r>
      <w:r w:rsidR="00671EC5">
        <w:t>ó</w:t>
      </w:r>
      <w:r>
        <w:t xml:space="preserve">d </w:t>
      </w:r>
      <w:r w:rsidR="00671EC5">
        <w:t>É</w:t>
      </w:r>
      <w:r>
        <w:t xml:space="preserve">ireann – the Infrastructure Manager which is responsible for maintaining and making available the track, signalling, and stations to the Railway Undertaking, the division that operates the rail services. </w:t>
      </w:r>
    </w:p>
    <w:p w:rsidR="00F453D2" w:rsidRPr="00B32D7E" w:rsidRDefault="00F453D2" w:rsidP="00F453D2">
      <w:pPr>
        <w:jc w:val="both"/>
      </w:pPr>
      <w:r w:rsidRPr="00B32D7E">
        <w:t xml:space="preserve">Recently Iarnród Éireann commissioned international consultants, Roland Berger, to allocate costs and revenues across the </w:t>
      </w:r>
      <w:r w:rsidR="002C24C9">
        <w:t xml:space="preserve">whole enterprise. </w:t>
      </w:r>
      <w:r w:rsidRPr="00B32D7E">
        <w:t xml:space="preserve"> The creation of this comprehensive financial </w:t>
      </w:r>
      <w:r w:rsidR="004C4843">
        <w:t>m</w:t>
      </w:r>
      <w:r w:rsidRPr="00B32D7E">
        <w:t>odel involved the following:</w:t>
      </w:r>
    </w:p>
    <w:p w:rsidR="00F453D2" w:rsidRPr="00B32D7E" w:rsidRDefault="00F453D2" w:rsidP="00F453D2">
      <w:pPr>
        <w:pStyle w:val="ListParagraph"/>
        <w:numPr>
          <w:ilvl w:val="0"/>
          <w:numId w:val="34"/>
        </w:numPr>
        <w:jc w:val="both"/>
        <w:rPr>
          <w:lang w:val="en-GB"/>
        </w:rPr>
      </w:pPr>
      <w:r w:rsidRPr="00B32D7E">
        <w:t>Dividing the network into 17 main routes;</w:t>
      </w:r>
    </w:p>
    <w:p w:rsidR="00F453D2" w:rsidRPr="00B32D7E" w:rsidRDefault="00F453D2" w:rsidP="00F453D2">
      <w:pPr>
        <w:pStyle w:val="ListParagraph"/>
        <w:numPr>
          <w:ilvl w:val="0"/>
          <w:numId w:val="34"/>
        </w:numPr>
        <w:jc w:val="both"/>
        <w:rPr>
          <w:lang w:val="en-GB"/>
        </w:rPr>
      </w:pPr>
      <w:r w:rsidRPr="00B32D7E">
        <w:t xml:space="preserve">Allocating the </w:t>
      </w:r>
      <w:r w:rsidRPr="00B32D7E">
        <w:rPr>
          <w:lang w:val="en-GB"/>
        </w:rPr>
        <w:t>revenues to routes to reflect actual travel patterns</w:t>
      </w:r>
      <w:r w:rsidR="00A774F2">
        <w:rPr>
          <w:lang w:val="en-GB"/>
        </w:rPr>
        <w:t xml:space="preserve"> and volumes</w:t>
      </w:r>
      <w:r w:rsidRPr="00B32D7E">
        <w:rPr>
          <w:lang w:val="en-GB"/>
        </w:rPr>
        <w:t>;</w:t>
      </w:r>
    </w:p>
    <w:p w:rsidR="00F453D2" w:rsidRPr="00B32D7E" w:rsidRDefault="00F453D2" w:rsidP="00F453D2">
      <w:pPr>
        <w:pStyle w:val="ListParagraph"/>
        <w:numPr>
          <w:ilvl w:val="0"/>
          <w:numId w:val="34"/>
        </w:numPr>
        <w:jc w:val="both"/>
        <w:rPr>
          <w:lang w:val="en-GB"/>
        </w:rPr>
      </w:pPr>
      <w:r w:rsidRPr="00B32D7E">
        <w:rPr>
          <w:lang w:val="en-GB"/>
        </w:rPr>
        <w:t>Allocating the Railway Undertaking costs to routes by re-definition of cost centres and cost elements;</w:t>
      </w:r>
    </w:p>
    <w:p w:rsidR="00F453D2" w:rsidRPr="00B32D7E" w:rsidRDefault="00F453D2" w:rsidP="00F453D2">
      <w:pPr>
        <w:pStyle w:val="ListParagraph"/>
        <w:numPr>
          <w:ilvl w:val="0"/>
          <w:numId w:val="34"/>
        </w:numPr>
        <w:jc w:val="both"/>
      </w:pPr>
      <w:r w:rsidRPr="00B32D7E">
        <w:rPr>
          <w:lang w:val="en-GB"/>
        </w:rPr>
        <w:t xml:space="preserve">Allocating Infrastructure Manager </w:t>
      </w:r>
      <w:proofErr w:type="gramStart"/>
      <w:r w:rsidRPr="00B32D7E">
        <w:rPr>
          <w:lang w:val="en-GB"/>
        </w:rPr>
        <w:t>costs</w:t>
      </w:r>
      <w:proofErr w:type="gramEnd"/>
      <w:r w:rsidRPr="00B32D7E">
        <w:rPr>
          <w:lang w:val="en-GB"/>
        </w:rPr>
        <w:t xml:space="preserve"> from current cost centres (</w:t>
      </w:r>
      <w:r w:rsidRPr="00B32D7E">
        <w:rPr>
          <w:bCs/>
          <w:lang w:val="en-GB"/>
        </w:rPr>
        <w:t>Civil Engineering, Signalling, Electrification, Communications, Infrastructure Managements Operations, and Buildings &amp; Facilities)</w:t>
      </w:r>
      <w:r w:rsidRPr="00B32D7E">
        <w:rPr>
          <w:lang w:val="en-GB"/>
        </w:rPr>
        <w:t xml:space="preserve"> to individual routes.</w:t>
      </w:r>
    </w:p>
    <w:p w:rsidR="00F453D2" w:rsidRPr="00B32D7E" w:rsidRDefault="00F453D2" w:rsidP="00F453D2">
      <w:pPr>
        <w:jc w:val="both"/>
      </w:pPr>
      <w:r w:rsidRPr="00B32D7E">
        <w:lastRenderedPageBreak/>
        <w:t xml:space="preserve">The resultant </w:t>
      </w:r>
      <w:r w:rsidR="00A774F2">
        <w:t>m</w:t>
      </w:r>
      <w:r w:rsidRPr="00B32D7E">
        <w:t xml:space="preserve">odel enables the viewing of the unique costs of operating services that run along a route, the shared costs of services where a route carries a number of services ending in different destinations, the infrastructure maintenance costs for a route, and the proportion of central costs allocated to the services and infrastructure. </w:t>
      </w:r>
    </w:p>
    <w:p w:rsidR="00F453D2" w:rsidRPr="00B32D7E" w:rsidRDefault="00F453D2" w:rsidP="00F453D2">
      <w:pPr>
        <w:jc w:val="both"/>
      </w:pPr>
      <w:r w:rsidRPr="00B32D7E">
        <w:t xml:space="preserve">Table </w:t>
      </w:r>
      <w:r>
        <w:t>1</w:t>
      </w:r>
      <w:r w:rsidRPr="00B32D7E">
        <w:t xml:space="preserve"> below sets out the </w:t>
      </w:r>
      <w:r w:rsidR="00A774F2">
        <w:t xml:space="preserve">subvention </w:t>
      </w:r>
      <w:r w:rsidR="00B92D84">
        <w:t>required</w:t>
      </w:r>
      <w:r w:rsidR="005A333C">
        <w:t xml:space="preserve"> </w:t>
      </w:r>
      <w:r w:rsidR="00A774F2">
        <w:t>per passenger carried by route within the network</w:t>
      </w:r>
      <w:r w:rsidR="00671EC5">
        <w:t xml:space="preserve"> in 2015</w:t>
      </w:r>
      <w:r w:rsidR="00B92D84">
        <w:t xml:space="preserve"> (not including Aecom steady-state levels of subvention)</w:t>
      </w:r>
      <w:r w:rsidR="00A774F2">
        <w:t xml:space="preserve">. </w:t>
      </w:r>
    </w:p>
    <w:p w:rsidR="00F453D2" w:rsidRDefault="00F453D2" w:rsidP="00F453D2">
      <w:pPr>
        <w:jc w:val="both"/>
        <w:rPr>
          <w:b/>
        </w:rPr>
      </w:pPr>
      <w:r w:rsidRPr="00B32D7E">
        <w:rPr>
          <w:b/>
        </w:rPr>
        <w:t xml:space="preserve">Table </w:t>
      </w:r>
      <w:r>
        <w:rPr>
          <w:b/>
        </w:rPr>
        <w:t>1</w:t>
      </w:r>
      <w:r w:rsidRPr="00B32D7E">
        <w:rPr>
          <w:b/>
        </w:rPr>
        <w:t xml:space="preserve">: </w:t>
      </w:r>
      <w:r w:rsidR="00A774F2">
        <w:rPr>
          <w:b/>
        </w:rPr>
        <w:t xml:space="preserve">Subvention </w:t>
      </w:r>
      <w:r w:rsidRPr="00B32D7E">
        <w:rPr>
          <w:b/>
        </w:rPr>
        <w:t xml:space="preserve">per Passenger Journey by Route, </w:t>
      </w:r>
      <w:r w:rsidR="00A774F2">
        <w:rPr>
          <w:b/>
        </w:rPr>
        <w:t>(</w:t>
      </w:r>
      <w:r w:rsidRPr="00B32D7E">
        <w:rPr>
          <w:b/>
        </w:rPr>
        <w:t>2015</w:t>
      </w:r>
      <w:r w:rsidR="00A774F2">
        <w:rPr>
          <w:b/>
        </w:rPr>
        <w:t>)</w:t>
      </w:r>
    </w:p>
    <w:p w:rsidR="00A46661" w:rsidRPr="00B32D7E" w:rsidRDefault="00A46661" w:rsidP="00F453D2">
      <w:pPr>
        <w:jc w:val="both"/>
        <w:rPr>
          <w:b/>
        </w:rPr>
      </w:pPr>
    </w:p>
    <w:tbl>
      <w:tblPr>
        <w:tblW w:w="5840" w:type="dxa"/>
        <w:jc w:val="center"/>
        <w:tblInd w:w="98" w:type="dxa"/>
        <w:tblLook w:val="04A0" w:firstRow="1" w:lastRow="0" w:firstColumn="1" w:lastColumn="0" w:noHBand="0" w:noVBand="1"/>
      </w:tblPr>
      <w:tblGrid>
        <w:gridCol w:w="2920"/>
        <w:gridCol w:w="2920"/>
      </w:tblGrid>
      <w:tr w:rsidR="00A46661" w:rsidRPr="00BA4BE1" w:rsidTr="003F096F">
        <w:trPr>
          <w:trHeight w:val="780"/>
          <w:jc w:val="center"/>
        </w:trPr>
        <w:tc>
          <w:tcPr>
            <w:tcW w:w="2920" w:type="dxa"/>
            <w:tcBorders>
              <w:top w:val="single" w:sz="8" w:space="0" w:color="auto"/>
              <w:left w:val="single" w:sz="8" w:space="0" w:color="auto"/>
              <w:bottom w:val="single" w:sz="8" w:space="0" w:color="auto"/>
              <w:right w:val="single" w:sz="8" w:space="0" w:color="auto"/>
            </w:tcBorders>
            <w:shd w:val="clear" w:color="auto" w:fill="B8CCE4" w:themeFill="accent1" w:themeFillTint="66"/>
            <w:vAlign w:val="center"/>
          </w:tcPr>
          <w:p w:rsidR="00A46661" w:rsidRPr="00BA4BE1" w:rsidRDefault="00A774F2" w:rsidP="00671EC5">
            <w:pPr>
              <w:spacing w:after="0" w:line="240" w:lineRule="auto"/>
              <w:jc w:val="center"/>
              <w:rPr>
                <w:rFonts w:ascii="Calibri" w:eastAsia="Times New Roman" w:hAnsi="Calibri" w:cs="Times New Roman"/>
                <w:b/>
                <w:bCs/>
                <w:color w:val="000000"/>
                <w:sz w:val="20"/>
                <w:szCs w:val="20"/>
                <w:lang w:eastAsia="en-IE"/>
              </w:rPr>
            </w:pPr>
            <w:r>
              <w:rPr>
                <w:rFonts w:ascii="Calibri" w:eastAsia="Times New Roman" w:hAnsi="Calibri" w:cs="Times New Roman"/>
                <w:b/>
                <w:bCs/>
                <w:color w:val="000000"/>
                <w:sz w:val="20"/>
                <w:szCs w:val="20"/>
                <w:lang w:eastAsia="en-IE"/>
              </w:rPr>
              <w:t xml:space="preserve">Subvention </w:t>
            </w:r>
            <w:r w:rsidR="00A46661" w:rsidRPr="00BA4BE1">
              <w:rPr>
                <w:rFonts w:ascii="Calibri" w:eastAsia="Times New Roman" w:hAnsi="Calibri" w:cs="Times New Roman"/>
                <w:b/>
                <w:bCs/>
                <w:color w:val="000000"/>
                <w:sz w:val="20"/>
                <w:szCs w:val="20"/>
                <w:lang w:eastAsia="en-IE"/>
              </w:rPr>
              <w:t>Per Passenger</w:t>
            </w:r>
            <w:r w:rsidR="00A46661">
              <w:rPr>
                <w:rFonts w:ascii="Calibri" w:eastAsia="Times New Roman" w:hAnsi="Calibri" w:cs="Times New Roman"/>
                <w:b/>
                <w:bCs/>
                <w:color w:val="000000"/>
                <w:sz w:val="20"/>
                <w:szCs w:val="20"/>
                <w:lang w:eastAsia="en-IE"/>
              </w:rPr>
              <w:t xml:space="preserve"> Journey €</w:t>
            </w:r>
            <w:r w:rsidR="00434318">
              <w:rPr>
                <w:rFonts w:ascii="Calibri" w:eastAsia="Times New Roman" w:hAnsi="Calibri" w:cs="Times New Roman"/>
                <w:b/>
                <w:bCs/>
                <w:color w:val="000000"/>
                <w:sz w:val="20"/>
                <w:szCs w:val="20"/>
                <w:lang w:eastAsia="en-IE"/>
              </w:rPr>
              <w:t xml:space="preserve"> </w:t>
            </w:r>
          </w:p>
        </w:tc>
        <w:tc>
          <w:tcPr>
            <w:tcW w:w="2920" w:type="dxa"/>
            <w:tcBorders>
              <w:top w:val="single" w:sz="8" w:space="0" w:color="auto"/>
              <w:left w:val="single" w:sz="8" w:space="0" w:color="auto"/>
              <w:bottom w:val="single" w:sz="8" w:space="0" w:color="auto"/>
              <w:right w:val="single" w:sz="8" w:space="0" w:color="auto"/>
            </w:tcBorders>
            <w:shd w:val="clear" w:color="auto" w:fill="B8CCE4" w:themeFill="accent1" w:themeFillTint="66"/>
            <w:noWrap/>
            <w:vAlign w:val="center"/>
            <w:hideMark/>
          </w:tcPr>
          <w:p w:rsidR="00A46661" w:rsidRPr="00BA4BE1" w:rsidRDefault="00A46661" w:rsidP="00C96870">
            <w:pPr>
              <w:spacing w:after="0" w:line="240" w:lineRule="auto"/>
              <w:rPr>
                <w:rFonts w:ascii="Calibri" w:eastAsia="Times New Roman" w:hAnsi="Calibri" w:cs="Times New Roman"/>
                <w:b/>
                <w:bCs/>
                <w:color w:val="000000"/>
                <w:sz w:val="20"/>
                <w:szCs w:val="20"/>
                <w:lang w:eastAsia="en-IE"/>
              </w:rPr>
            </w:pPr>
            <w:r w:rsidRPr="00BA4BE1">
              <w:rPr>
                <w:rFonts w:ascii="Calibri" w:eastAsia="Times New Roman" w:hAnsi="Calibri" w:cs="Times New Roman"/>
                <w:b/>
                <w:bCs/>
                <w:color w:val="000000"/>
                <w:sz w:val="20"/>
                <w:szCs w:val="20"/>
                <w:lang w:eastAsia="en-IE"/>
              </w:rPr>
              <w:t>Route</w:t>
            </w:r>
          </w:p>
        </w:tc>
      </w:tr>
      <w:tr w:rsidR="00A46661" w:rsidRPr="00BA4BE1" w:rsidTr="00C96870">
        <w:trPr>
          <w:trHeight w:val="315"/>
          <w:jc w:val="center"/>
        </w:trPr>
        <w:tc>
          <w:tcPr>
            <w:tcW w:w="2920" w:type="dxa"/>
            <w:tcBorders>
              <w:top w:val="nil"/>
              <w:left w:val="single" w:sz="8" w:space="0" w:color="auto"/>
              <w:bottom w:val="single" w:sz="8" w:space="0" w:color="auto"/>
              <w:right w:val="single" w:sz="8" w:space="0" w:color="auto"/>
            </w:tcBorders>
            <w:vAlign w:val="center"/>
          </w:tcPr>
          <w:p w:rsidR="00A46661" w:rsidRPr="00BA4BE1" w:rsidRDefault="00A46661" w:rsidP="00671EC5">
            <w:pPr>
              <w:spacing w:after="0" w:line="240" w:lineRule="auto"/>
              <w:jc w:val="center"/>
              <w:rPr>
                <w:rFonts w:ascii="Calibri" w:eastAsia="Times New Roman" w:hAnsi="Calibri" w:cs="Times New Roman"/>
                <w:color w:val="000000"/>
                <w:sz w:val="20"/>
                <w:szCs w:val="20"/>
                <w:lang w:eastAsia="en-IE"/>
              </w:rPr>
            </w:pPr>
            <w:r>
              <w:rPr>
                <w:rFonts w:ascii="Calibri" w:hAnsi="Calibri"/>
                <w:color w:val="000000"/>
              </w:rPr>
              <w:t>&lt; 1</w:t>
            </w:r>
          </w:p>
        </w:tc>
        <w:tc>
          <w:tcPr>
            <w:tcW w:w="2920" w:type="dxa"/>
            <w:tcBorders>
              <w:top w:val="nil"/>
              <w:left w:val="single" w:sz="8" w:space="0" w:color="auto"/>
              <w:bottom w:val="single" w:sz="8" w:space="0" w:color="auto"/>
              <w:right w:val="single" w:sz="8" w:space="0" w:color="auto"/>
            </w:tcBorders>
            <w:shd w:val="clear" w:color="auto" w:fill="auto"/>
            <w:noWrap/>
            <w:vAlign w:val="center"/>
            <w:hideMark/>
          </w:tcPr>
          <w:p w:rsidR="00A46661" w:rsidRPr="00BA4BE1" w:rsidRDefault="00A46661" w:rsidP="00C96870">
            <w:pPr>
              <w:spacing w:after="0" w:line="240" w:lineRule="auto"/>
              <w:rPr>
                <w:rFonts w:ascii="Calibri" w:eastAsia="Times New Roman" w:hAnsi="Calibri" w:cs="Times New Roman"/>
                <w:color w:val="000000"/>
                <w:sz w:val="20"/>
                <w:szCs w:val="20"/>
                <w:lang w:eastAsia="en-IE"/>
              </w:rPr>
            </w:pPr>
            <w:r w:rsidRPr="00BA4BE1">
              <w:rPr>
                <w:rFonts w:ascii="Calibri" w:eastAsia="Times New Roman" w:hAnsi="Calibri" w:cs="Times New Roman"/>
                <w:color w:val="000000"/>
                <w:sz w:val="20"/>
                <w:szCs w:val="20"/>
                <w:lang w:eastAsia="en-IE"/>
              </w:rPr>
              <w:t>Dart</w:t>
            </w:r>
          </w:p>
        </w:tc>
      </w:tr>
      <w:tr w:rsidR="00A46661" w:rsidRPr="00BA4BE1" w:rsidTr="00C96870">
        <w:trPr>
          <w:trHeight w:val="315"/>
          <w:jc w:val="center"/>
        </w:trPr>
        <w:tc>
          <w:tcPr>
            <w:tcW w:w="2920" w:type="dxa"/>
            <w:vMerge w:val="restart"/>
            <w:tcBorders>
              <w:top w:val="nil"/>
              <w:left w:val="single" w:sz="8" w:space="0" w:color="auto"/>
              <w:right w:val="single" w:sz="8" w:space="0" w:color="auto"/>
            </w:tcBorders>
            <w:vAlign w:val="center"/>
          </w:tcPr>
          <w:p w:rsidR="00A46661" w:rsidRPr="00BA4BE1" w:rsidRDefault="00A46661" w:rsidP="00C96870">
            <w:pPr>
              <w:spacing w:after="0" w:line="240" w:lineRule="auto"/>
              <w:jc w:val="center"/>
              <w:rPr>
                <w:rFonts w:ascii="Calibri" w:eastAsia="Times New Roman" w:hAnsi="Calibri" w:cs="Times New Roman"/>
                <w:color w:val="000000"/>
                <w:sz w:val="20"/>
                <w:szCs w:val="20"/>
                <w:lang w:eastAsia="en-IE"/>
              </w:rPr>
            </w:pPr>
            <w:r>
              <w:rPr>
                <w:rFonts w:ascii="Calibri" w:hAnsi="Calibri"/>
                <w:color w:val="000000"/>
              </w:rPr>
              <w:t>1 to 5</w:t>
            </w:r>
          </w:p>
          <w:p w:rsidR="00A46661" w:rsidRPr="00BA4BE1" w:rsidRDefault="00A46661" w:rsidP="00C96870">
            <w:pPr>
              <w:spacing w:after="0" w:line="240" w:lineRule="auto"/>
              <w:jc w:val="center"/>
              <w:rPr>
                <w:rFonts w:ascii="Calibri" w:eastAsia="Times New Roman" w:hAnsi="Calibri" w:cs="Times New Roman"/>
                <w:color w:val="000000"/>
                <w:sz w:val="20"/>
                <w:szCs w:val="20"/>
                <w:lang w:eastAsia="en-IE"/>
              </w:rPr>
            </w:pPr>
          </w:p>
        </w:tc>
        <w:tc>
          <w:tcPr>
            <w:tcW w:w="2920" w:type="dxa"/>
            <w:tcBorders>
              <w:top w:val="nil"/>
              <w:left w:val="single" w:sz="8" w:space="0" w:color="auto"/>
              <w:bottom w:val="single" w:sz="8" w:space="0" w:color="auto"/>
              <w:right w:val="single" w:sz="8" w:space="0" w:color="auto"/>
            </w:tcBorders>
            <w:shd w:val="clear" w:color="auto" w:fill="auto"/>
            <w:noWrap/>
            <w:vAlign w:val="center"/>
            <w:hideMark/>
          </w:tcPr>
          <w:p w:rsidR="00A46661" w:rsidRPr="00BA4BE1" w:rsidRDefault="00A46661" w:rsidP="00C96870">
            <w:pPr>
              <w:spacing w:after="0" w:line="240" w:lineRule="auto"/>
              <w:rPr>
                <w:rFonts w:ascii="Calibri" w:eastAsia="Times New Roman" w:hAnsi="Calibri" w:cs="Times New Roman"/>
                <w:color w:val="000000"/>
                <w:sz w:val="20"/>
                <w:szCs w:val="20"/>
                <w:lang w:eastAsia="en-IE"/>
              </w:rPr>
            </w:pPr>
            <w:r w:rsidRPr="00BA4BE1">
              <w:rPr>
                <w:rFonts w:ascii="Calibri" w:eastAsia="Times New Roman" w:hAnsi="Calibri" w:cs="Times New Roman"/>
                <w:color w:val="000000"/>
                <w:sz w:val="20"/>
                <w:szCs w:val="20"/>
                <w:lang w:eastAsia="en-IE"/>
              </w:rPr>
              <w:t>Kildare Suburban</w:t>
            </w:r>
          </w:p>
        </w:tc>
      </w:tr>
      <w:tr w:rsidR="00A46661" w:rsidRPr="00BA4BE1" w:rsidTr="00C96870">
        <w:trPr>
          <w:trHeight w:val="315"/>
          <w:jc w:val="center"/>
        </w:trPr>
        <w:tc>
          <w:tcPr>
            <w:tcW w:w="2920" w:type="dxa"/>
            <w:vMerge/>
            <w:tcBorders>
              <w:left w:val="single" w:sz="8" w:space="0" w:color="auto"/>
              <w:right w:val="single" w:sz="8" w:space="0" w:color="auto"/>
            </w:tcBorders>
            <w:vAlign w:val="bottom"/>
          </w:tcPr>
          <w:p w:rsidR="00A46661" w:rsidRPr="00BA4BE1" w:rsidRDefault="00A46661" w:rsidP="00C96870">
            <w:pPr>
              <w:spacing w:after="0" w:line="240" w:lineRule="auto"/>
              <w:jc w:val="right"/>
              <w:rPr>
                <w:rFonts w:ascii="Calibri" w:eastAsia="Times New Roman" w:hAnsi="Calibri" w:cs="Times New Roman"/>
                <w:color w:val="000000"/>
                <w:sz w:val="20"/>
                <w:szCs w:val="20"/>
                <w:lang w:eastAsia="en-IE"/>
              </w:rPr>
            </w:pPr>
          </w:p>
        </w:tc>
        <w:tc>
          <w:tcPr>
            <w:tcW w:w="2920" w:type="dxa"/>
            <w:tcBorders>
              <w:top w:val="nil"/>
              <w:left w:val="single" w:sz="8" w:space="0" w:color="auto"/>
              <w:bottom w:val="single" w:sz="8" w:space="0" w:color="auto"/>
              <w:right w:val="single" w:sz="8" w:space="0" w:color="auto"/>
            </w:tcBorders>
            <w:shd w:val="clear" w:color="auto" w:fill="auto"/>
            <w:noWrap/>
            <w:vAlign w:val="center"/>
            <w:hideMark/>
          </w:tcPr>
          <w:p w:rsidR="00A46661" w:rsidRPr="00BA4BE1" w:rsidRDefault="004D43BE" w:rsidP="008F7773">
            <w:pPr>
              <w:spacing w:after="0" w:line="240" w:lineRule="auto"/>
              <w:rPr>
                <w:rFonts w:ascii="Calibri" w:eastAsia="Times New Roman" w:hAnsi="Calibri" w:cs="Times New Roman"/>
                <w:color w:val="000000"/>
                <w:sz w:val="20"/>
                <w:szCs w:val="20"/>
                <w:lang w:eastAsia="en-IE"/>
              </w:rPr>
            </w:pPr>
            <w:r>
              <w:rPr>
                <w:rFonts w:ascii="Calibri" w:eastAsia="Times New Roman" w:hAnsi="Calibri" w:cs="Times New Roman"/>
                <w:color w:val="000000"/>
                <w:sz w:val="20"/>
                <w:szCs w:val="20"/>
                <w:lang w:eastAsia="en-IE"/>
              </w:rPr>
              <w:t>Northern</w:t>
            </w:r>
            <w:r w:rsidR="00A46661" w:rsidRPr="00BA4BE1">
              <w:rPr>
                <w:rFonts w:ascii="Calibri" w:eastAsia="Times New Roman" w:hAnsi="Calibri" w:cs="Times New Roman"/>
                <w:color w:val="000000"/>
                <w:sz w:val="20"/>
                <w:szCs w:val="20"/>
                <w:lang w:eastAsia="en-IE"/>
              </w:rPr>
              <w:t xml:space="preserve"> Suburban</w:t>
            </w:r>
            <w:r>
              <w:rPr>
                <w:rFonts w:ascii="Calibri" w:eastAsia="Times New Roman" w:hAnsi="Calibri" w:cs="Times New Roman"/>
                <w:color w:val="000000"/>
                <w:sz w:val="20"/>
                <w:szCs w:val="20"/>
                <w:lang w:eastAsia="en-IE"/>
              </w:rPr>
              <w:t xml:space="preserve"> (Dublin – Dundalk)</w:t>
            </w:r>
          </w:p>
        </w:tc>
      </w:tr>
      <w:tr w:rsidR="00A46661" w:rsidRPr="00BA4BE1" w:rsidTr="00C96870">
        <w:trPr>
          <w:trHeight w:val="315"/>
          <w:jc w:val="center"/>
        </w:trPr>
        <w:tc>
          <w:tcPr>
            <w:tcW w:w="2920" w:type="dxa"/>
            <w:vMerge/>
            <w:tcBorders>
              <w:left w:val="single" w:sz="8" w:space="0" w:color="auto"/>
              <w:bottom w:val="single" w:sz="8" w:space="0" w:color="auto"/>
              <w:right w:val="single" w:sz="8" w:space="0" w:color="auto"/>
            </w:tcBorders>
            <w:vAlign w:val="bottom"/>
          </w:tcPr>
          <w:p w:rsidR="00A46661" w:rsidRPr="00BA4BE1" w:rsidRDefault="00A46661" w:rsidP="00C96870">
            <w:pPr>
              <w:spacing w:after="0" w:line="240" w:lineRule="auto"/>
              <w:jc w:val="right"/>
              <w:rPr>
                <w:rFonts w:ascii="Calibri" w:eastAsia="Times New Roman" w:hAnsi="Calibri" w:cs="Times New Roman"/>
                <w:color w:val="000000"/>
                <w:sz w:val="20"/>
                <w:szCs w:val="20"/>
                <w:lang w:eastAsia="en-IE"/>
              </w:rPr>
            </w:pPr>
          </w:p>
        </w:tc>
        <w:tc>
          <w:tcPr>
            <w:tcW w:w="2920" w:type="dxa"/>
            <w:tcBorders>
              <w:top w:val="nil"/>
              <w:left w:val="single" w:sz="8" w:space="0" w:color="auto"/>
              <w:bottom w:val="single" w:sz="8" w:space="0" w:color="auto"/>
              <w:right w:val="single" w:sz="8" w:space="0" w:color="auto"/>
            </w:tcBorders>
            <w:shd w:val="clear" w:color="auto" w:fill="auto"/>
            <w:noWrap/>
            <w:vAlign w:val="center"/>
            <w:hideMark/>
          </w:tcPr>
          <w:p w:rsidR="00A46661" w:rsidRPr="00BA4BE1" w:rsidRDefault="004D43BE" w:rsidP="008F7773">
            <w:pPr>
              <w:spacing w:after="0" w:line="240" w:lineRule="auto"/>
              <w:rPr>
                <w:rFonts w:ascii="Calibri" w:eastAsia="Times New Roman" w:hAnsi="Calibri" w:cs="Times New Roman"/>
                <w:color w:val="000000"/>
                <w:sz w:val="20"/>
                <w:szCs w:val="20"/>
                <w:lang w:eastAsia="en-IE"/>
              </w:rPr>
            </w:pPr>
            <w:r>
              <w:rPr>
                <w:rFonts w:ascii="Calibri" w:eastAsia="Times New Roman" w:hAnsi="Calibri" w:cs="Times New Roman"/>
                <w:color w:val="000000"/>
                <w:sz w:val="20"/>
                <w:szCs w:val="20"/>
                <w:lang w:eastAsia="en-IE"/>
              </w:rPr>
              <w:t xml:space="preserve">Western </w:t>
            </w:r>
            <w:r w:rsidR="00A46661" w:rsidRPr="00BA4BE1">
              <w:rPr>
                <w:rFonts w:ascii="Calibri" w:eastAsia="Times New Roman" w:hAnsi="Calibri" w:cs="Times New Roman"/>
                <w:color w:val="000000"/>
                <w:sz w:val="20"/>
                <w:szCs w:val="20"/>
                <w:lang w:eastAsia="en-IE"/>
              </w:rPr>
              <w:t>Suburban</w:t>
            </w:r>
            <w:r>
              <w:rPr>
                <w:rFonts w:ascii="Calibri" w:eastAsia="Times New Roman" w:hAnsi="Calibri" w:cs="Times New Roman"/>
                <w:color w:val="000000"/>
                <w:sz w:val="20"/>
                <w:szCs w:val="20"/>
                <w:lang w:eastAsia="en-IE"/>
              </w:rPr>
              <w:t xml:space="preserve"> (Dublin – Longford)</w:t>
            </w:r>
          </w:p>
        </w:tc>
      </w:tr>
      <w:tr w:rsidR="00A46661" w:rsidRPr="00BA4BE1" w:rsidTr="00C96870">
        <w:trPr>
          <w:trHeight w:val="315"/>
          <w:jc w:val="center"/>
        </w:trPr>
        <w:tc>
          <w:tcPr>
            <w:tcW w:w="2920" w:type="dxa"/>
            <w:vMerge w:val="restart"/>
            <w:tcBorders>
              <w:top w:val="nil"/>
              <w:left w:val="single" w:sz="8" w:space="0" w:color="auto"/>
              <w:right w:val="single" w:sz="8" w:space="0" w:color="auto"/>
            </w:tcBorders>
            <w:vAlign w:val="center"/>
          </w:tcPr>
          <w:p w:rsidR="00A46661" w:rsidRPr="00BA4BE1" w:rsidRDefault="00B6197B" w:rsidP="00671EC5">
            <w:pPr>
              <w:spacing w:after="0" w:line="240" w:lineRule="auto"/>
              <w:jc w:val="center"/>
              <w:rPr>
                <w:rFonts w:ascii="Calibri" w:eastAsia="Times New Roman" w:hAnsi="Calibri" w:cs="Times New Roman"/>
                <w:color w:val="000000"/>
                <w:sz w:val="20"/>
                <w:szCs w:val="20"/>
                <w:lang w:eastAsia="en-IE"/>
              </w:rPr>
            </w:pPr>
            <w:r>
              <w:rPr>
                <w:rFonts w:ascii="Calibri" w:hAnsi="Calibri"/>
                <w:color w:val="000000"/>
              </w:rPr>
              <w:t>5</w:t>
            </w:r>
            <w:r w:rsidR="00A46661">
              <w:rPr>
                <w:rFonts w:ascii="Calibri" w:hAnsi="Calibri"/>
                <w:color w:val="000000"/>
              </w:rPr>
              <w:t xml:space="preserve"> to 10</w:t>
            </w:r>
          </w:p>
        </w:tc>
        <w:tc>
          <w:tcPr>
            <w:tcW w:w="2920" w:type="dxa"/>
            <w:tcBorders>
              <w:top w:val="nil"/>
              <w:left w:val="single" w:sz="8" w:space="0" w:color="auto"/>
              <w:bottom w:val="single" w:sz="8" w:space="0" w:color="auto"/>
              <w:right w:val="single" w:sz="8" w:space="0" w:color="auto"/>
            </w:tcBorders>
            <w:shd w:val="clear" w:color="auto" w:fill="auto"/>
            <w:noWrap/>
            <w:vAlign w:val="center"/>
            <w:hideMark/>
          </w:tcPr>
          <w:p w:rsidR="00A46661" w:rsidRPr="00BA4BE1" w:rsidRDefault="00A46661" w:rsidP="00C96870">
            <w:pPr>
              <w:spacing w:after="0" w:line="240" w:lineRule="auto"/>
              <w:rPr>
                <w:rFonts w:ascii="Calibri" w:eastAsia="Times New Roman" w:hAnsi="Calibri" w:cs="Times New Roman"/>
                <w:color w:val="000000"/>
                <w:sz w:val="20"/>
                <w:szCs w:val="20"/>
                <w:lang w:eastAsia="en-IE"/>
              </w:rPr>
            </w:pPr>
            <w:r w:rsidRPr="00BA4BE1">
              <w:rPr>
                <w:rFonts w:ascii="Calibri" w:eastAsia="Times New Roman" w:hAnsi="Calibri" w:cs="Times New Roman"/>
                <w:color w:val="000000"/>
                <w:sz w:val="20"/>
                <w:szCs w:val="20"/>
                <w:lang w:eastAsia="en-IE"/>
              </w:rPr>
              <w:t>Dublin - Galway</w:t>
            </w:r>
          </w:p>
        </w:tc>
      </w:tr>
      <w:tr w:rsidR="004D43BE" w:rsidRPr="00BA4BE1" w:rsidTr="00C96870">
        <w:trPr>
          <w:trHeight w:val="315"/>
          <w:jc w:val="center"/>
        </w:trPr>
        <w:tc>
          <w:tcPr>
            <w:tcW w:w="2920" w:type="dxa"/>
            <w:vMerge/>
            <w:tcBorders>
              <w:top w:val="nil"/>
              <w:left w:val="single" w:sz="8" w:space="0" w:color="auto"/>
              <w:right w:val="single" w:sz="8" w:space="0" w:color="auto"/>
            </w:tcBorders>
            <w:vAlign w:val="center"/>
          </w:tcPr>
          <w:p w:rsidR="004D43BE" w:rsidRDefault="004D43BE" w:rsidP="00671EC5">
            <w:pPr>
              <w:spacing w:after="0" w:line="240" w:lineRule="auto"/>
              <w:jc w:val="center"/>
              <w:rPr>
                <w:rFonts w:ascii="Calibri" w:hAnsi="Calibri"/>
                <w:color w:val="000000"/>
              </w:rPr>
            </w:pPr>
          </w:p>
        </w:tc>
        <w:tc>
          <w:tcPr>
            <w:tcW w:w="2920" w:type="dxa"/>
            <w:tcBorders>
              <w:top w:val="nil"/>
              <w:left w:val="single" w:sz="8" w:space="0" w:color="auto"/>
              <w:bottom w:val="single" w:sz="8" w:space="0" w:color="auto"/>
              <w:right w:val="single" w:sz="8" w:space="0" w:color="auto"/>
            </w:tcBorders>
            <w:shd w:val="clear" w:color="auto" w:fill="auto"/>
            <w:noWrap/>
            <w:vAlign w:val="center"/>
          </w:tcPr>
          <w:p w:rsidR="004D43BE" w:rsidRPr="00BA4BE1" w:rsidRDefault="004D43BE" w:rsidP="00C96870">
            <w:pPr>
              <w:spacing w:after="0" w:line="240" w:lineRule="auto"/>
              <w:rPr>
                <w:rFonts w:ascii="Calibri" w:eastAsia="Times New Roman" w:hAnsi="Calibri" w:cs="Times New Roman"/>
                <w:color w:val="000000"/>
                <w:sz w:val="20"/>
                <w:szCs w:val="20"/>
                <w:lang w:eastAsia="en-IE"/>
              </w:rPr>
            </w:pPr>
            <w:r w:rsidRPr="00BA4BE1">
              <w:rPr>
                <w:rFonts w:ascii="Calibri" w:eastAsia="Times New Roman" w:hAnsi="Calibri" w:cs="Times New Roman"/>
                <w:color w:val="000000"/>
                <w:sz w:val="20"/>
                <w:szCs w:val="20"/>
                <w:lang w:eastAsia="en-IE"/>
              </w:rPr>
              <w:t>Cork Commuter</w:t>
            </w:r>
          </w:p>
        </w:tc>
      </w:tr>
      <w:tr w:rsidR="00A46661" w:rsidRPr="00BA4BE1" w:rsidTr="00C96870">
        <w:trPr>
          <w:trHeight w:val="315"/>
          <w:jc w:val="center"/>
        </w:trPr>
        <w:tc>
          <w:tcPr>
            <w:tcW w:w="2920" w:type="dxa"/>
            <w:vMerge/>
            <w:tcBorders>
              <w:left w:val="single" w:sz="8" w:space="0" w:color="auto"/>
              <w:bottom w:val="single" w:sz="8" w:space="0" w:color="auto"/>
              <w:right w:val="single" w:sz="8" w:space="0" w:color="auto"/>
            </w:tcBorders>
            <w:vAlign w:val="bottom"/>
          </w:tcPr>
          <w:p w:rsidR="00A46661" w:rsidRPr="00BA4BE1" w:rsidRDefault="00A46661" w:rsidP="00C96870">
            <w:pPr>
              <w:spacing w:after="0" w:line="240" w:lineRule="auto"/>
              <w:jc w:val="right"/>
              <w:rPr>
                <w:rFonts w:ascii="Calibri" w:eastAsia="Times New Roman" w:hAnsi="Calibri" w:cs="Times New Roman"/>
                <w:color w:val="000000"/>
                <w:sz w:val="20"/>
                <w:szCs w:val="20"/>
                <w:lang w:eastAsia="en-IE"/>
              </w:rPr>
            </w:pPr>
          </w:p>
        </w:tc>
        <w:tc>
          <w:tcPr>
            <w:tcW w:w="2920" w:type="dxa"/>
            <w:tcBorders>
              <w:top w:val="nil"/>
              <w:left w:val="single" w:sz="8" w:space="0" w:color="auto"/>
              <w:bottom w:val="single" w:sz="8" w:space="0" w:color="auto"/>
              <w:right w:val="single" w:sz="8" w:space="0" w:color="auto"/>
            </w:tcBorders>
            <w:shd w:val="clear" w:color="auto" w:fill="auto"/>
            <w:noWrap/>
            <w:vAlign w:val="center"/>
            <w:hideMark/>
          </w:tcPr>
          <w:p w:rsidR="00C7313B" w:rsidRPr="00BA4BE1" w:rsidRDefault="00C7313B" w:rsidP="00C96870">
            <w:pPr>
              <w:spacing w:after="0" w:line="240" w:lineRule="auto"/>
              <w:rPr>
                <w:rFonts w:ascii="Calibri" w:eastAsia="Times New Roman" w:hAnsi="Calibri" w:cs="Times New Roman"/>
                <w:color w:val="000000"/>
                <w:sz w:val="20"/>
                <w:szCs w:val="20"/>
                <w:lang w:eastAsia="en-IE"/>
              </w:rPr>
            </w:pPr>
            <w:r w:rsidRPr="00BA4BE1">
              <w:rPr>
                <w:rFonts w:ascii="Calibri" w:eastAsia="Times New Roman" w:hAnsi="Calibri" w:cs="Times New Roman"/>
                <w:color w:val="000000"/>
                <w:sz w:val="20"/>
                <w:szCs w:val="20"/>
                <w:lang w:eastAsia="en-IE"/>
              </w:rPr>
              <w:t>Dublin - Belfast</w:t>
            </w:r>
          </w:p>
        </w:tc>
      </w:tr>
      <w:tr w:rsidR="005A333C" w:rsidRPr="00BA4BE1" w:rsidTr="00C96870">
        <w:trPr>
          <w:trHeight w:val="315"/>
          <w:jc w:val="center"/>
        </w:trPr>
        <w:tc>
          <w:tcPr>
            <w:tcW w:w="2920" w:type="dxa"/>
            <w:tcBorders>
              <w:top w:val="nil"/>
              <w:left w:val="single" w:sz="8" w:space="0" w:color="auto"/>
              <w:right w:val="single" w:sz="8" w:space="0" w:color="auto"/>
            </w:tcBorders>
            <w:vAlign w:val="center"/>
          </w:tcPr>
          <w:p w:rsidR="005A333C" w:rsidRDefault="00B6197B" w:rsidP="00671EC5">
            <w:pPr>
              <w:spacing w:after="0" w:line="240" w:lineRule="auto"/>
              <w:jc w:val="center"/>
              <w:rPr>
                <w:rFonts w:ascii="Calibri" w:hAnsi="Calibri"/>
                <w:color w:val="000000"/>
              </w:rPr>
            </w:pPr>
            <w:r>
              <w:rPr>
                <w:rFonts w:ascii="Calibri" w:hAnsi="Calibri"/>
                <w:color w:val="000000"/>
              </w:rPr>
              <w:t>10 to 20</w:t>
            </w:r>
          </w:p>
        </w:tc>
        <w:tc>
          <w:tcPr>
            <w:tcW w:w="2920" w:type="dxa"/>
            <w:tcBorders>
              <w:top w:val="nil"/>
              <w:left w:val="single" w:sz="8" w:space="0" w:color="auto"/>
              <w:bottom w:val="single" w:sz="8" w:space="0" w:color="auto"/>
              <w:right w:val="single" w:sz="8" w:space="0" w:color="auto"/>
            </w:tcBorders>
            <w:shd w:val="clear" w:color="auto" w:fill="auto"/>
            <w:noWrap/>
            <w:vAlign w:val="center"/>
          </w:tcPr>
          <w:p w:rsidR="005A333C" w:rsidRPr="00BA4BE1" w:rsidRDefault="005A333C" w:rsidP="00C96870">
            <w:pPr>
              <w:spacing w:after="0" w:line="240" w:lineRule="auto"/>
              <w:rPr>
                <w:rFonts w:ascii="Calibri" w:eastAsia="Times New Roman" w:hAnsi="Calibri" w:cs="Times New Roman"/>
                <w:color w:val="000000"/>
                <w:sz w:val="20"/>
                <w:szCs w:val="20"/>
                <w:lang w:eastAsia="en-IE"/>
              </w:rPr>
            </w:pPr>
            <w:r w:rsidRPr="00BA4BE1">
              <w:rPr>
                <w:rFonts w:ascii="Calibri" w:eastAsia="Times New Roman" w:hAnsi="Calibri" w:cs="Times New Roman"/>
                <w:color w:val="000000"/>
                <w:sz w:val="20"/>
                <w:szCs w:val="20"/>
                <w:lang w:eastAsia="en-IE"/>
              </w:rPr>
              <w:t>Dublin - Waterford</w:t>
            </w:r>
          </w:p>
        </w:tc>
      </w:tr>
      <w:tr w:rsidR="005A333C" w:rsidRPr="00BA4BE1" w:rsidTr="00C96870">
        <w:trPr>
          <w:trHeight w:val="315"/>
          <w:jc w:val="center"/>
        </w:trPr>
        <w:tc>
          <w:tcPr>
            <w:tcW w:w="2920" w:type="dxa"/>
            <w:vMerge w:val="restart"/>
            <w:tcBorders>
              <w:left w:val="single" w:sz="8" w:space="0" w:color="auto"/>
              <w:right w:val="single" w:sz="8" w:space="0" w:color="auto"/>
            </w:tcBorders>
            <w:vAlign w:val="bottom"/>
          </w:tcPr>
          <w:p w:rsidR="005A333C" w:rsidRPr="00BA4BE1" w:rsidRDefault="005A333C" w:rsidP="004D43BE">
            <w:pPr>
              <w:spacing w:after="0" w:line="240" w:lineRule="auto"/>
              <w:jc w:val="center"/>
              <w:rPr>
                <w:rFonts w:ascii="Calibri" w:eastAsia="Times New Roman" w:hAnsi="Calibri" w:cs="Times New Roman"/>
                <w:color w:val="000000"/>
                <w:sz w:val="20"/>
                <w:szCs w:val="20"/>
                <w:lang w:eastAsia="en-IE"/>
              </w:rPr>
            </w:pPr>
          </w:p>
        </w:tc>
        <w:tc>
          <w:tcPr>
            <w:tcW w:w="2920" w:type="dxa"/>
            <w:tcBorders>
              <w:top w:val="nil"/>
              <w:left w:val="single" w:sz="8" w:space="0" w:color="auto"/>
              <w:bottom w:val="single" w:sz="8" w:space="0" w:color="auto"/>
              <w:right w:val="single" w:sz="8" w:space="0" w:color="auto"/>
            </w:tcBorders>
            <w:shd w:val="clear" w:color="auto" w:fill="auto"/>
            <w:noWrap/>
            <w:vAlign w:val="center"/>
            <w:hideMark/>
          </w:tcPr>
          <w:p w:rsidR="005A333C" w:rsidRPr="00BA4BE1" w:rsidRDefault="005A333C" w:rsidP="00C96870">
            <w:pPr>
              <w:spacing w:after="0" w:line="240" w:lineRule="auto"/>
              <w:rPr>
                <w:rFonts w:ascii="Calibri" w:eastAsia="Times New Roman" w:hAnsi="Calibri" w:cs="Times New Roman"/>
                <w:color w:val="000000"/>
                <w:sz w:val="20"/>
                <w:szCs w:val="20"/>
                <w:lang w:eastAsia="en-IE"/>
              </w:rPr>
            </w:pPr>
            <w:r w:rsidRPr="00BA4BE1">
              <w:rPr>
                <w:rFonts w:ascii="Calibri" w:eastAsia="Times New Roman" w:hAnsi="Calibri" w:cs="Times New Roman"/>
                <w:color w:val="000000"/>
                <w:sz w:val="20"/>
                <w:szCs w:val="20"/>
                <w:lang w:eastAsia="en-IE"/>
              </w:rPr>
              <w:t>Dublin - Tralee</w:t>
            </w:r>
          </w:p>
        </w:tc>
      </w:tr>
      <w:tr w:rsidR="005A333C" w:rsidRPr="00BA4BE1" w:rsidTr="00C96870">
        <w:trPr>
          <w:trHeight w:val="315"/>
          <w:jc w:val="center"/>
        </w:trPr>
        <w:tc>
          <w:tcPr>
            <w:tcW w:w="2920" w:type="dxa"/>
            <w:vMerge/>
            <w:tcBorders>
              <w:left w:val="single" w:sz="8" w:space="0" w:color="auto"/>
              <w:right w:val="single" w:sz="8" w:space="0" w:color="auto"/>
            </w:tcBorders>
            <w:vAlign w:val="bottom"/>
          </w:tcPr>
          <w:p w:rsidR="005A333C" w:rsidRPr="00BA4BE1" w:rsidRDefault="005A333C" w:rsidP="00C96870">
            <w:pPr>
              <w:spacing w:after="0" w:line="240" w:lineRule="auto"/>
              <w:jc w:val="right"/>
              <w:rPr>
                <w:rFonts w:ascii="Calibri" w:eastAsia="Times New Roman" w:hAnsi="Calibri" w:cs="Times New Roman"/>
                <w:color w:val="000000"/>
                <w:sz w:val="20"/>
                <w:szCs w:val="20"/>
                <w:lang w:eastAsia="en-IE"/>
              </w:rPr>
            </w:pPr>
          </w:p>
        </w:tc>
        <w:tc>
          <w:tcPr>
            <w:tcW w:w="2920" w:type="dxa"/>
            <w:tcBorders>
              <w:top w:val="nil"/>
              <w:left w:val="single" w:sz="8" w:space="0" w:color="auto"/>
              <w:bottom w:val="single" w:sz="8" w:space="0" w:color="auto"/>
              <w:right w:val="single" w:sz="8" w:space="0" w:color="auto"/>
            </w:tcBorders>
            <w:shd w:val="clear" w:color="auto" w:fill="auto"/>
            <w:noWrap/>
            <w:vAlign w:val="center"/>
            <w:hideMark/>
          </w:tcPr>
          <w:p w:rsidR="005A333C" w:rsidRPr="00BA4BE1" w:rsidRDefault="005A333C" w:rsidP="00C96870">
            <w:pPr>
              <w:spacing w:after="0" w:line="240" w:lineRule="auto"/>
              <w:rPr>
                <w:rFonts w:ascii="Calibri" w:eastAsia="Times New Roman" w:hAnsi="Calibri" w:cs="Times New Roman"/>
                <w:color w:val="000000"/>
                <w:sz w:val="20"/>
                <w:szCs w:val="20"/>
                <w:lang w:eastAsia="en-IE"/>
              </w:rPr>
            </w:pPr>
            <w:r w:rsidRPr="00BA4BE1">
              <w:rPr>
                <w:rFonts w:ascii="Calibri" w:eastAsia="Times New Roman" w:hAnsi="Calibri" w:cs="Times New Roman"/>
                <w:color w:val="000000"/>
                <w:sz w:val="20"/>
                <w:szCs w:val="20"/>
                <w:lang w:eastAsia="en-IE"/>
              </w:rPr>
              <w:t>Dublin - Limerick</w:t>
            </w:r>
          </w:p>
        </w:tc>
      </w:tr>
      <w:tr w:rsidR="004D43BE" w:rsidRPr="00BA4BE1" w:rsidTr="00C96870">
        <w:trPr>
          <w:trHeight w:val="315"/>
          <w:jc w:val="center"/>
        </w:trPr>
        <w:tc>
          <w:tcPr>
            <w:tcW w:w="2920" w:type="dxa"/>
            <w:vMerge/>
            <w:tcBorders>
              <w:left w:val="single" w:sz="8" w:space="0" w:color="auto"/>
              <w:bottom w:val="single" w:sz="8" w:space="0" w:color="auto"/>
              <w:right w:val="single" w:sz="8" w:space="0" w:color="auto"/>
            </w:tcBorders>
            <w:vAlign w:val="bottom"/>
          </w:tcPr>
          <w:p w:rsidR="004D43BE" w:rsidRPr="00BA4BE1" w:rsidRDefault="004D43BE" w:rsidP="00C96870">
            <w:pPr>
              <w:spacing w:after="0" w:line="240" w:lineRule="auto"/>
              <w:jc w:val="right"/>
              <w:rPr>
                <w:rFonts w:ascii="Calibri" w:eastAsia="Times New Roman" w:hAnsi="Calibri" w:cs="Times New Roman"/>
                <w:color w:val="000000"/>
                <w:sz w:val="20"/>
                <w:szCs w:val="20"/>
                <w:lang w:eastAsia="en-IE"/>
              </w:rPr>
            </w:pPr>
          </w:p>
        </w:tc>
        <w:tc>
          <w:tcPr>
            <w:tcW w:w="2920" w:type="dxa"/>
            <w:tcBorders>
              <w:top w:val="nil"/>
              <w:left w:val="single" w:sz="8" w:space="0" w:color="auto"/>
              <w:bottom w:val="single" w:sz="8" w:space="0" w:color="auto"/>
              <w:right w:val="single" w:sz="8" w:space="0" w:color="auto"/>
            </w:tcBorders>
            <w:shd w:val="clear" w:color="auto" w:fill="auto"/>
            <w:noWrap/>
            <w:vAlign w:val="center"/>
            <w:hideMark/>
          </w:tcPr>
          <w:p w:rsidR="004D43BE" w:rsidRPr="00BA4BE1" w:rsidRDefault="004D43BE" w:rsidP="00F52F02">
            <w:pPr>
              <w:spacing w:after="0" w:line="240" w:lineRule="auto"/>
              <w:rPr>
                <w:rFonts w:ascii="Calibri" w:eastAsia="Times New Roman" w:hAnsi="Calibri" w:cs="Times New Roman"/>
                <w:color w:val="000000"/>
                <w:sz w:val="20"/>
                <w:szCs w:val="20"/>
                <w:lang w:eastAsia="en-IE"/>
              </w:rPr>
            </w:pPr>
            <w:r w:rsidRPr="00BA4BE1">
              <w:rPr>
                <w:rFonts w:ascii="Calibri" w:eastAsia="Times New Roman" w:hAnsi="Calibri" w:cs="Times New Roman"/>
                <w:color w:val="000000"/>
                <w:sz w:val="20"/>
                <w:szCs w:val="20"/>
                <w:lang w:eastAsia="en-IE"/>
              </w:rPr>
              <w:t>Dublin - Sligo</w:t>
            </w:r>
          </w:p>
        </w:tc>
      </w:tr>
      <w:tr w:rsidR="004D43BE" w:rsidRPr="00BA4BE1" w:rsidTr="00C96870">
        <w:trPr>
          <w:trHeight w:val="315"/>
          <w:jc w:val="center"/>
        </w:trPr>
        <w:tc>
          <w:tcPr>
            <w:tcW w:w="2920" w:type="dxa"/>
            <w:tcBorders>
              <w:top w:val="nil"/>
              <w:left w:val="single" w:sz="8" w:space="0" w:color="auto"/>
              <w:right w:val="single" w:sz="8" w:space="0" w:color="auto"/>
            </w:tcBorders>
            <w:vAlign w:val="center"/>
          </w:tcPr>
          <w:p w:rsidR="004D43BE" w:rsidRDefault="004D43BE" w:rsidP="00671EC5">
            <w:pPr>
              <w:spacing w:after="0" w:line="240" w:lineRule="auto"/>
              <w:jc w:val="center"/>
              <w:rPr>
                <w:rFonts w:ascii="Calibri" w:hAnsi="Calibri"/>
                <w:color w:val="000000"/>
              </w:rPr>
            </w:pPr>
          </w:p>
        </w:tc>
        <w:tc>
          <w:tcPr>
            <w:tcW w:w="2920" w:type="dxa"/>
            <w:tcBorders>
              <w:top w:val="nil"/>
              <w:left w:val="single" w:sz="8" w:space="0" w:color="auto"/>
              <w:bottom w:val="single" w:sz="8" w:space="0" w:color="auto"/>
              <w:right w:val="single" w:sz="8" w:space="0" w:color="auto"/>
            </w:tcBorders>
            <w:shd w:val="clear" w:color="auto" w:fill="auto"/>
            <w:noWrap/>
            <w:vAlign w:val="center"/>
          </w:tcPr>
          <w:p w:rsidR="004D43BE" w:rsidRPr="00BA4BE1" w:rsidRDefault="004D43BE" w:rsidP="00C96870">
            <w:pPr>
              <w:spacing w:after="0" w:line="240" w:lineRule="auto"/>
              <w:rPr>
                <w:rFonts w:ascii="Calibri" w:eastAsia="Times New Roman" w:hAnsi="Calibri" w:cs="Times New Roman"/>
                <w:color w:val="000000"/>
                <w:sz w:val="20"/>
                <w:szCs w:val="20"/>
                <w:lang w:eastAsia="en-IE"/>
              </w:rPr>
            </w:pPr>
            <w:r w:rsidRPr="005A333C">
              <w:rPr>
                <w:rFonts w:ascii="Calibri" w:eastAsia="Times New Roman" w:hAnsi="Calibri" w:cs="Times New Roman"/>
                <w:color w:val="000000"/>
                <w:sz w:val="20"/>
                <w:szCs w:val="20"/>
                <w:lang w:eastAsia="en-IE"/>
              </w:rPr>
              <w:t>Dublin - Cork</w:t>
            </w:r>
          </w:p>
        </w:tc>
      </w:tr>
      <w:tr w:rsidR="004D43BE" w:rsidRPr="00BA4BE1" w:rsidTr="00C96870">
        <w:trPr>
          <w:trHeight w:val="315"/>
          <w:jc w:val="center"/>
        </w:trPr>
        <w:tc>
          <w:tcPr>
            <w:tcW w:w="2920" w:type="dxa"/>
            <w:vMerge w:val="restart"/>
            <w:tcBorders>
              <w:top w:val="nil"/>
              <w:left w:val="single" w:sz="8" w:space="0" w:color="auto"/>
              <w:right w:val="single" w:sz="8" w:space="0" w:color="auto"/>
            </w:tcBorders>
            <w:vAlign w:val="center"/>
          </w:tcPr>
          <w:p w:rsidR="004D43BE" w:rsidRPr="00BA4BE1" w:rsidRDefault="004D43BE" w:rsidP="00FA4672">
            <w:pPr>
              <w:spacing w:after="0" w:line="240" w:lineRule="auto"/>
              <w:jc w:val="center"/>
              <w:rPr>
                <w:rFonts w:ascii="Calibri" w:eastAsia="Times New Roman" w:hAnsi="Calibri" w:cs="Times New Roman"/>
                <w:color w:val="000000"/>
                <w:sz w:val="20"/>
                <w:szCs w:val="20"/>
                <w:lang w:eastAsia="en-IE"/>
              </w:rPr>
            </w:pPr>
            <w:r>
              <w:rPr>
                <w:rFonts w:ascii="Calibri" w:hAnsi="Calibri"/>
                <w:color w:val="000000"/>
              </w:rPr>
              <w:t>20 to 30</w:t>
            </w:r>
          </w:p>
        </w:tc>
        <w:tc>
          <w:tcPr>
            <w:tcW w:w="2920" w:type="dxa"/>
            <w:tcBorders>
              <w:top w:val="nil"/>
              <w:left w:val="single" w:sz="8" w:space="0" w:color="auto"/>
              <w:bottom w:val="single" w:sz="8" w:space="0" w:color="auto"/>
              <w:right w:val="single" w:sz="8" w:space="0" w:color="auto"/>
            </w:tcBorders>
            <w:shd w:val="clear" w:color="auto" w:fill="auto"/>
            <w:noWrap/>
            <w:vAlign w:val="center"/>
            <w:hideMark/>
          </w:tcPr>
          <w:p w:rsidR="004D43BE" w:rsidRPr="00BA4BE1" w:rsidRDefault="004D43BE" w:rsidP="00C96870">
            <w:pPr>
              <w:spacing w:after="0" w:line="240" w:lineRule="auto"/>
              <w:rPr>
                <w:rFonts w:ascii="Calibri" w:eastAsia="Times New Roman" w:hAnsi="Calibri" w:cs="Times New Roman"/>
                <w:color w:val="000000"/>
                <w:sz w:val="20"/>
                <w:szCs w:val="20"/>
                <w:lang w:eastAsia="en-IE"/>
              </w:rPr>
            </w:pPr>
            <w:r w:rsidRPr="00BA4BE1">
              <w:rPr>
                <w:rFonts w:ascii="Calibri" w:eastAsia="Times New Roman" w:hAnsi="Calibri" w:cs="Times New Roman"/>
                <w:color w:val="000000"/>
                <w:sz w:val="20"/>
                <w:szCs w:val="20"/>
                <w:lang w:eastAsia="en-IE"/>
              </w:rPr>
              <w:t xml:space="preserve">Dublin - </w:t>
            </w:r>
            <w:proofErr w:type="spellStart"/>
            <w:r w:rsidRPr="00BA4BE1">
              <w:rPr>
                <w:rFonts w:ascii="Calibri" w:eastAsia="Times New Roman" w:hAnsi="Calibri" w:cs="Times New Roman"/>
                <w:color w:val="000000"/>
                <w:sz w:val="20"/>
                <w:szCs w:val="20"/>
                <w:lang w:eastAsia="en-IE"/>
              </w:rPr>
              <w:t>Rosslare</w:t>
            </w:r>
            <w:proofErr w:type="spellEnd"/>
          </w:p>
        </w:tc>
      </w:tr>
      <w:tr w:rsidR="004D43BE" w:rsidRPr="00BA4BE1" w:rsidTr="00C96870">
        <w:trPr>
          <w:trHeight w:val="315"/>
          <w:jc w:val="center"/>
        </w:trPr>
        <w:tc>
          <w:tcPr>
            <w:tcW w:w="2920" w:type="dxa"/>
            <w:vMerge/>
            <w:tcBorders>
              <w:left w:val="single" w:sz="8" w:space="0" w:color="auto"/>
              <w:bottom w:val="single" w:sz="8" w:space="0" w:color="auto"/>
              <w:right w:val="single" w:sz="8" w:space="0" w:color="auto"/>
            </w:tcBorders>
            <w:vAlign w:val="bottom"/>
          </w:tcPr>
          <w:p w:rsidR="004D43BE" w:rsidRPr="00BA4BE1" w:rsidRDefault="004D43BE" w:rsidP="00C96870">
            <w:pPr>
              <w:spacing w:after="0" w:line="240" w:lineRule="auto"/>
              <w:jc w:val="right"/>
              <w:rPr>
                <w:rFonts w:ascii="Calibri" w:eastAsia="Times New Roman" w:hAnsi="Calibri" w:cs="Times New Roman"/>
                <w:color w:val="000000"/>
                <w:sz w:val="20"/>
                <w:szCs w:val="20"/>
                <w:lang w:eastAsia="en-IE"/>
              </w:rPr>
            </w:pPr>
          </w:p>
        </w:tc>
        <w:tc>
          <w:tcPr>
            <w:tcW w:w="2920" w:type="dxa"/>
            <w:tcBorders>
              <w:top w:val="nil"/>
              <w:left w:val="single" w:sz="8" w:space="0" w:color="auto"/>
              <w:bottom w:val="single" w:sz="8" w:space="0" w:color="auto"/>
              <w:right w:val="single" w:sz="8" w:space="0" w:color="auto"/>
            </w:tcBorders>
            <w:shd w:val="clear" w:color="auto" w:fill="auto"/>
            <w:noWrap/>
            <w:vAlign w:val="center"/>
            <w:hideMark/>
          </w:tcPr>
          <w:p w:rsidR="004D43BE" w:rsidRPr="00BA4BE1" w:rsidRDefault="004D43BE" w:rsidP="00C96870">
            <w:pPr>
              <w:spacing w:after="0" w:line="240" w:lineRule="auto"/>
              <w:rPr>
                <w:rFonts w:ascii="Calibri" w:eastAsia="Times New Roman" w:hAnsi="Calibri" w:cs="Times New Roman"/>
                <w:color w:val="000000"/>
                <w:sz w:val="20"/>
                <w:szCs w:val="20"/>
                <w:lang w:eastAsia="en-IE"/>
              </w:rPr>
            </w:pPr>
            <w:r>
              <w:rPr>
                <w:rFonts w:ascii="Calibri" w:eastAsia="Times New Roman" w:hAnsi="Calibri" w:cs="Times New Roman"/>
                <w:color w:val="000000"/>
                <w:sz w:val="20"/>
                <w:szCs w:val="20"/>
                <w:lang w:eastAsia="en-IE"/>
              </w:rPr>
              <w:t xml:space="preserve">Dublin - </w:t>
            </w:r>
            <w:r w:rsidRPr="00BA4BE1">
              <w:rPr>
                <w:rFonts w:ascii="Calibri" w:eastAsia="Times New Roman" w:hAnsi="Calibri" w:cs="Times New Roman"/>
                <w:color w:val="000000"/>
                <w:sz w:val="20"/>
                <w:szCs w:val="20"/>
                <w:lang w:eastAsia="en-IE"/>
              </w:rPr>
              <w:t>Wes</w:t>
            </w:r>
            <w:r>
              <w:rPr>
                <w:rFonts w:ascii="Calibri" w:eastAsia="Times New Roman" w:hAnsi="Calibri" w:cs="Times New Roman"/>
                <w:color w:val="000000"/>
                <w:sz w:val="20"/>
                <w:szCs w:val="20"/>
                <w:lang w:eastAsia="en-IE"/>
              </w:rPr>
              <w:t>t</w:t>
            </w:r>
            <w:r w:rsidRPr="00BA4BE1">
              <w:rPr>
                <w:rFonts w:ascii="Calibri" w:eastAsia="Times New Roman" w:hAnsi="Calibri" w:cs="Times New Roman"/>
                <w:color w:val="000000"/>
                <w:sz w:val="20"/>
                <w:szCs w:val="20"/>
                <w:lang w:eastAsia="en-IE"/>
              </w:rPr>
              <w:t>port/</w:t>
            </w:r>
            <w:proofErr w:type="spellStart"/>
            <w:r w:rsidRPr="00BA4BE1">
              <w:rPr>
                <w:rFonts w:ascii="Calibri" w:eastAsia="Times New Roman" w:hAnsi="Calibri" w:cs="Times New Roman"/>
                <w:color w:val="000000"/>
                <w:sz w:val="20"/>
                <w:szCs w:val="20"/>
                <w:lang w:eastAsia="en-IE"/>
              </w:rPr>
              <w:t>Ballina</w:t>
            </w:r>
            <w:proofErr w:type="spellEnd"/>
          </w:p>
        </w:tc>
      </w:tr>
      <w:tr w:rsidR="004D43BE" w:rsidRPr="00BA4BE1" w:rsidTr="005E561B">
        <w:trPr>
          <w:trHeight w:val="315"/>
          <w:jc w:val="center"/>
        </w:trPr>
        <w:tc>
          <w:tcPr>
            <w:tcW w:w="2920" w:type="dxa"/>
            <w:tcBorders>
              <w:top w:val="nil"/>
              <w:left w:val="single" w:sz="8" w:space="0" w:color="auto"/>
              <w:bottom w:val="single" w:sz="8" w:space="0" w:color="auto"/>
              <w:right w:val="single" w:sz="8" w:space="0" w:color="auto"/>
            </w:tcBorders>
            <w:vAlign w:val="center"/>
          </w:tcPr>
          <w:p w:rsidR="004D43BE" w:rsidRPr="006C76BC" w:rsidRDefault="004D43BE" w:rsidP="006C76BC">
            <w:pPr>
              <w:spacing w:after="0" w:line="240" w:lineRule="auto"/>
              <w:jc w:val="center"/>
              <w:rPr>
                <w:rFonts w:ascii="Calibri" w:eastAsia="Times New Roman" w:hAnsi="Calibri" w:cs="Times New Roman"/>
                <w:color w:val="000000"/>
                <w:lang w:eastAsia="en-IE"/>
              </w:rPr>
            </w:pPr>
            <w:r w:rsidRPr="006C76BC">
              <w:rPr>
                <w:rFonts w:ascii="Calibri" w:eastAsia="Times New Roman" w:hAnsi="Calibri" w:cs="Times New Roman"/>
                <w:color w:val="000000"/>
                <w:lang w:eastAsia="en-IE"/>
              </w:rPr>
              <w:t>44</w:t>
            </w:r>
          </w:p>
        </w:tc>
        <w:tc>
          <w:tcPr>
            <w:tcW w:w="2920" w:type="dxa"/>
            <w:tcBorders>
              <w:top w:val="nil"/>
              <w:left w:val="single" w:sz="8" w:space="0" w:color="auto"/>
              <w:bottom w:val="single" w:sz="8" w:space="0" w:color="auto"/>
              <w:right w:val="single" w:sz="8" w:space="0" w:color="auto"/>
            </w:tcBorders>
            <w:shd w:val="clear" w:color="auto" w:fill="auto"/>
            <w:noWrap/>
            <w:vAlign w:val="center"/>
          </w:tcPr>
          <w:p w:rsidR="004D43BE" w:rsidRPr="00BA4BE1" w:rsidRDefault="004D43BE" w:rsidP="00C96870">
            <w:pPr>
              <w:spacing w:after="0" w:line="240" w:lineRule="auto"/>
              <w:rPr>
                <w:rFonts w:ascii="Calibri" w:eastAsia="Times New Roman" w:hAnsi="Calibri" w:cs="Times New Roman"/>
                <w:color w:val="000000"/>
                <w:sz w:val="20"/>
                <w:szCs w:val="20"/>
                <w:lang w:eastAsia="en-IE"/>
              </w:rPr>
            </w:pPr>
            <w:r w:rsidRPr="00BA4BE1">
              <w:rPr>
                <w:rFonts w:ascii="Calibri" w:eastAsia="Times New Roman" w:hAnsi="Calibri" w:cs="Times New Roman"/>
                <w:color w:val="000000"/>
                <w:sz w:val="20"/>
                <w:szCs w:val="20"/>
                <w:lang w:eastAsia="en-IE"/>
              </w:rPr>
              <w:t>Limerick - Galway</w:t>
            </w:r>
          </w:p>
        </w:tc>
      </w:tr>
      <w:tr w:rsidR="004D43BE" w:rsidRPr="00BA4BE1" w:rsidTr="005E561B">
        <w:trPr>
          <w:trHeight w:val="315"/>
          <w:jc w:val="center"/>
        </w:trPr>
        <w:tc>
          <w:tcPr>
            <w:tcW w:w="2920" w:type="dxa"/>
            <w:tcBorders>
              <w:top w:val="nil"/>
              <w:left w:val="single" w:sz="8" w:space="0" w:color="auto"/>
              <w:bottom w:val="single" w:sz="8" w:space="0" w:color="auto"/>
              <w:right w:val="single" w:sz="8" w:space="0" w:color="auto"/>
            </w:tcBorders>
            <w:vAlign w:val="center"/>
          </w:tcPr>
          <w:p w:rsidR="004D43BE" w:rsidRPr="006C76BC" w:rsidRDefault="004D43BE" w:rsidP="006C76BC">
            <w:pPr>
              <w:spacing w:after="0" w:line="240" w:lineRule="auto"/>
              <w:jc w:val="center"/>
              <w:rPr>
                <w:rFonts w:ascii="Calibri" w:eastAsia="Times New Roman" w:hAnsi="Calibri" w:cs="Times New Roman"/>
                <w:color w:val="000000"/>
                <w:lang w:eastAsia="en-IE"/>
              </w:rPr>
            </w:pPr>
            <w:r w:rsidRPr="006C76BC">
              <w:rPr>
                <w:rFonts w:ascii="Calibri" w:eastAsia="Times New Roman" w:hAnsi="Calibri" w:cs="Times New Roman"/>
                <w:color w:val="000000"/>
                <w:lang w:eastAsia="en-IE"/>
              </w:rPr>
              <w:t>362</w:t>
            </w:r>
          </w:p>
        </w:tc>
        <w:tc>
          <w:tcPr>
            <w:tcW w:w="2920" w:type="dxa"/>
            <w:tcBorders>
              <w:top w:val="nil"/>
              <w:left w:val="single" w:sz="8" w:space="0" w:color="auto"/>
              <w:bottom w:val="single" w:sz="8" w:space="0" w:color="auto"/>
              <w:right w:val="single" w:sz="8" w:space="0" w:color="auto"/>
            </w:tcBorders>
            <w:shd w:val="clear" w:color="auto" w:fill="auto"/>
            <w:noWrap/>
            <w:vAlign w:val="center"/>
            <w:hideMark/>
          </w:tcPr>
          <w:p w:rsidR="004D43BE" w:rsidRPr="00BA4BE1" w:rsidRDefault="004D43BE" w:rsidP="00C96870">
            <w:pPr>
              <w:spacing w:after="0" w:line="240" w:lineRule="auto"/>
              <w:rPr>
                <w:rFonts w:ascii="Calibri" w:eastAsia="Times New Roman" w:hAnsi="Calibri" w:cs="Times New Roman"/>
                <w:color w:val="000000"/>
                <w:sz w:val="20"/>
                <w:szCs w:val="20"/>
                <w:lang w:eastAsia="en-IE"/>
              </w:rPr>
            </w:pPr>
            <w:r w:rsidRPr="00BA4BE1">
              <w:rPr>
                <w:rFonts w:ascii="Calibri" w:eastAsia="Times New Roman" w:hAnsi="Calibri" w:cs="Times New Roman"/>
                <w:color w:val="000000"/>
                <w:sz w:val="20"/>
                <w:szCs w:val="20"/>
                <w:lang w:eastAsia="en-IE"/>
              </w:rPr>
              <w:t xml:space="preserve">Limerick </w:t>
            </w:r>
            <w:r>
              <w:rPr>
                <w:rFonts w:ascii="Calibri" w:eastAsia="Times New Roman" w:hAnsi="Calibri" w:cs="Times New Roman"/>
                <w:color w:val="000000"/>
                <w:sz w:val="20"/>
                <w:szCs w:val="20"/>
                <w:lang w:eastAsia="en-IE"/>
              </w:rPr>
              <w:t xml:space="preserve"> </w:t>
            </w:r>
            <w:r w:rsidRPr="00BA4BE1">
              <w:rPr>
                <w:rFonts w:ascii="Calibri" w:eastAsia="Times New Roman" w:hAnsi="Calibri" w:cs="Times New Roman"/>
                <w:color w:val="000000"/>
                <w:sz w:val="20"/>
                <w:szCs w:val="20"/>
                <w:lang w:eastAsia="en-IE"/>
              </w:rPr>
              <w:t>Junction - Waterford</w:t>
            </w:r>
          </w:p>
        </w:tc>
      </w:tr>
      <w:tr w:rsidR="004D43BE" w:rsidRPr="00BA4BE1" w:rsidTr="00C96870">
        <w:trPr>
          <w:trHeight w:val="315"/>
          <w:jc w:val="center"/>
        </w:trPr>
        <w:tc>
          <w:tcPr>
            <w:tcW w:w="2920" w:type="dxa"/>
            <w:tcBorders>
              <w:top w:val="nil"/>
              <w:left w:val="single" w:sz="8" w:space="0" w:color="auto"/>
              <w:bottom w:val="single" w:sz="8" w:space="0" w:color="auto"/>
              <w:right w:val="single" w:sz="8" w:space="0" w:color="auto"/>
            </w:tcBorders>
            <w:vAlign w:val="center"/>
          </w:tcPr>
          <w:p w:rsidR="004D43BE" w:rsidRPr="00BA4BE1" w:rsidRDefault="004D43BE" w:rsidP="00671EC5">
            <w:pPr>
              <w:spacing w:after="0" w:line="240" w:lineRule="auto"/>
              <w:jc w:val="center"/>
              <w:rPr>
                <w:rFonts w:ascii="Calibri" w:eastAsia="Times New Roman" w:hAnsi="Calibri" w:cs="Times New Roman"/>
                <w:color w:val="000000"/>
                <w:sz w:val="20"/>
                <w:szCs w:val="20"/>
                <w:lang w:eastAsia="en-IE"/>
              </w:rPr>
            </w:pPr>
            <w:r>
              <w:rPr>
                <w:rFonts w:ascii="Calibri" w:hAnsi="Calibri"/>
                <w:color w:val="000000"/>
              </w:rPr>
              <w:t>552</w:t>
            </w:r>
          </w:p>
        </w:tc>
        <w:tc>
          <w:tcPr>
            <w:tcW w:w="2920" w:type="dxa"/>
            <w:tcBorders>
              <w:top w:val="nil"/>
              <w:left w:val="single" w:sz="8" w:space="0" w:color="auto"/>
              <w:bottom w:val="single" w:sz="8" w:space="0" w:color="auto"/>
              <w:right w:val="single" w:sz="8" w:space="0" w:color="auto"/>
            </w:tcBorders>
            <w:shd w:val="clear" w:color="auto" w:fill="auto"/>
            <w:noWrap/>
            <w:vAlign w:val="center"/>
            <w:hideMark/>
          </w:tcPr>
          <w:p w:rsidR="004D43BE" w:rsidRPr="00BA4BE1" w:rsidRDefault="004D43BE" w:rsidP="00C96870">
            <w:pPr>
              <w:spacing w:after="0" w:line="240" w:lineRule="auto"/>
              <w:rPr>
                <w:rFonts w:ascii="Calibri" w:eastAsia="Times New Roman" w:hAnsi="Calibri" w:cs="Times New Roman"/>
                <w:color w:val="000000"/>
                <w:sz w:val="20"/>
                <w:szCs w:val="20"/>
                <w:lang w:eastAsia="en-IE"/>
              </w:rPr>
            </w:pPr>
            <w:r w:rsidRPr="00BA4BE1">
              <w:rPr>
                <w:rFonts w:ascii="Calibri" w:eastAsia="Times New Roman" w:hAnsi="Calibri" w:cs="Times New Roman"/>
                <w:color w:val="000000"/>
                <w:sz w:val="20"/>
                <w:szCs w:val="20"/>
                <w:lang w:eastAsia="en-IE"/>
              </w:rPr>
              <w:t>Limerick - Ballybrophy</w:t>
            </w:r>
          </w:p>
        </w:tc>
      </w:tr>
    </w:tbl>
    <w:p w:rsidR="00F453D2" w:rsidRPr="00B32D7E" w:rsidRDefault="00F453D2" w:rsidP="00F453D2">
      <w:pPr>
        <w:jc w:val="both"/>
        <w:rPr>
          <w:b/>
        </w:rPr>
      </w:pPr>
    </w:p>
    <w:p w:rsidR="00F453D2" w:rsidRDefault="00F453D2" w:rsidP="00F453D2">
      <w:pPr>
        <w:jc w:val="both"/>
        <w:rPr>
          <w:b/>
          <w:i/>
          <w:iCs/>
          <w:sz w:val="20"/>
          <w:szCs w:val="20"/>
        </w:rPr>
      </w:pPr>
      <w:r w:rsidRPr="00B32D7E">
        <w:rPr>
          <w:b/>
          <w:i/>
          <w:iCs/>
          <w:sz w:val="20"/>
          <w:szCs w:val="20"/>
        </w:rPr>
        <w:t xml:space="preserve">NOTE: </w:t>
      </w:r>
      <w:r w:rsidR="00A774F2">
        <w:rPr>
          <w:b/>
          <w:i/>
          <w:iCs/>
          <w:sz w:val="20"/>
          <w:szCs w:val="20"/>
        </w:rPr>
        <w:t xml:space="preserve">Subvention means </w:t>
      </w:r>
      <w:r w:rsidRPr="00B32D7E">
        <w:rPr>
          <w:b/>
          <w:i/>
          <w:iCs/>
          <w:sz w:val="20"/>
          <w:szCs w:val="20"/>
        </w:rPr>
        <w:t>expenditure less receipts from fares and advertising. Cost includes expenditure on fixed costs (e.g. central overheads, buildings, etc), semi-variable costs (e.g. maintenance), and variable costs (e.g. fuel). However it excludes non-cash items such as depreciation</w:t>
      </w:r>
      <w:r w:rsidR="00A774F2">
        <w:rPr>
          <w:b/>
          <w:i/>
          <w:iCs/>
          <w:sz w:val="20"/>
          <w:szCs w:val="20"/>
        </w:rPr>
        <w:t>,</w:t>
      </w:r>
      <w:r w:rsidRPr="00B32D7E">
        <w:rPr>
          <w:b/>
          <w:i/>
          <w:iCs/>
          <w:sz w:val="20"/>
          <w:szCs w:val="20"/>
        </w:rPr>
        <w:t xml:space="preserve"> amortization and capitalisation.  </w:t>
      </w:r>
    </w:p>
    <w:p w:rsidR="005A333C" w:rsidRPr="005E561B" w:rsidRDefault="005A333C" w:rsidP="00F453D2">
      <w:pPr>
        <w:jc w:val="both"/>
      </w:pPr>
      <w:r>
        <w:rPr>
          <w:iCs/>
        </w:rPr>
        <w:t>The above table shows the subvention that would be paid to break even in 2015</w:t>
      </w:r>
      <w:r w:rsidR="00A13E07">
        <w:rPr>
          <w:iCs/>
        </w:rPr>
        <w:t>.</w:t>
      </w:r>
      <w:r>
        <w:rPr>
          <w:iCs/>
        </w:rPr>
        <w:t xml:space="preserve"> </w:t>
      </w:r>
      <w:r w:rsidR="00A13E07">
        <w:rPr>
          <w:iCs/>
        </w:rPr>
        <w:t>H</w:t>
      </w:r>
      <w:r>
        <w:rPr>
          <w:iCs/>
        </w:rPr>
        <w:t>owever it does not reflect the figure that is needed to maintain the infrastructure in steady-state condition (Aecom 201</w:t>
      </w:r>
      <w:r w:rsidR="00A13E07">
        <w:rPr>
          <w:iCs/>
        </w:rPr>
        <w:t>6</w:t>
      </w:r>
      <w:r>
        <w:rPr>
          <w:iCs/>
        </w:rPr>
        <w:t xml:space="preserve"> figures).</w:t>
      </w:r>
    </w:p>
    <w:p w:rsidR="00320781" w:rsidRPr="00B32D7E" w:rsidRDefault="00320781" w:rsidP="00974CC1">
      <w:pPr>
        <w:pStyle w:val="Heading1"/>
      </w:pPr>
      <w:bookmarkStart w:id="9" w:name="_Toc416710823"/>
      <w:r w:rsidRPr="00B32D7E">
        <w:lastRenderedPageBreak/>
        <w:t xml:space="preserve">Rail’s </w:t>
      </w:r>
      <w:r w:rsidR="00CD5778">
        <w:t>Future C</w:t>
      </w:r>
      <w:r w:rsidRPr="00B32D7E">
        <w:t>hallenges</w:t>
      </w:r>
      <w:bookmarkEnd w:id="9"/>
      <w:r w:rsidRPr="00B32D7E">
        <w:t xml:space="preserve">   </w:t>
      </w:r>
    </w:p>
    <w:p w:rsidR="00974CC1" w:rsidRPr="00B32D7E" w:rsidRDefault="00974CC1" w:rsidP="00974CC1">
      <w:pPr>
        <w:pStyle w:val="Heading2"/>
      </w:pPr>
      <w:r w:rsidRPr="00B32D7E">
        <w:t>3.1</w:t>
      </w:r>
      <w:r w:rsidRPr="00B32D7E">
        <w:tab/>
        <w:t>Population, land use and travel demand</w:t>
      </w:r>
    </w:p>
    <w:p w:rsidR="00F0119D" w:rsidRPr="00B32D7E" w:rsidRDefault="00F0119D" w:rsidP="00E32814">
      <w:pPr>
        <w:jc w:val="both"/>
        <w:rPr>
          <w:rFonts w:eastAsiaTheme="minorEastAsia"/>
          <w:lang w:eastAsia="en-IE"/>
        </w:rPr>
      </w:pPr>
      <w:r w:rsidRPr="00B32D7E">
        <w:rPr>
          <w:rFonts w:eastAsiaTheme="minorEastAsia"/>
          <w:lang w:eastAsia="en-IE"/>
        </w:rPr>
        <w:t xml:space="preserve">Demand for travel by rail, as for all modes, is largely dictated by the relationship between the location of origins and destinations – where people live and where they need to go for their daily needs – accessing work, education, shops, visiting friends and family. In general, there is a strong relationship between rail usage and population density. </w:t>
      </w:r>
    </w:p>
    <w:p w:rsidR="00F0119D" w:rsidRPr="00B32D7E" w:rsidRDefault="00F0119D" w:rsidP="00F0119D">
      <w:pPr>
        <w:jc w:val="both"/>
        <w:rPr>
          <w:rFonts w:eastAsiaTheme="minorEastAsia"/>
          <w:lang w:eastAsia="en-IE"/>
        </w:rPr>
      </w:pPr>
      <w:r w:rsidRPr="00B32D7E">
        <w:rPr>
          <w:rFonts w:eastAsiaTheme="minorEastAsia"/>
          <w:lang w:eastAsia="en-IE"/>
        </w:rPr>
        <w:t xml:space="preserve">The following national population, land use and travel demand characteristics pose significant challenges to the ability of rail to </w:t>
      </w:r>
      <w:r w:rsidR="00A774F2">
        <w:rPr>
          <w:rFonts w:eastAsiaTheme="minorEastAsia"/>
          <w:lang w:eastAsia="en-IE"/>
        </w:rPr>
        <w:t>increase its share of total future travel</w:t>
      </w:r>
      <w:r w:rsidR="002735E4">
        <w:rPr>
          <w:rFonts w:eastAsiaTheme="minorEastAsia"/>
          <w:lang w:eastAsia="en-IE"/>
        </w:rPr>
        <w:t xml:space="preserve"> </w:t>
      </w:r>
      <w:r w:rsidRPr="00B32D7E">
        <w:rPr>
          <w:rFonts w:eastAsiaTheme="minorEastAsia"/>
          <w:lang w:eastAsia="en-IE"/>
        </w:rPr>
        <w:t>in Ireland:</w:t>
      </w:r>
    </w:p>
    <w:p w:rsidR="00F0119D" w:rsidRPr="00B32D7E" w:rsidRDefault="00F0119D" w:rsidP="00F0119D">
      <w:pPr>
        <w:pStyle w:val="ListParagraph"/>
        <w:numPr>
          <w:ilvl w:val="0"/>
          <w:numId w:val="13"/>
        </w:numPr>
        <w:jc w:val="both"/>
        <w:rPr>
          <w:rFonts w:eastAsiaTheme="minorEastAsia"/>
          <w:lang w:eastAsia="en-IE"/>
        </w:rPr>
      </w:pPr>
      <w:r w:rsidRPr="00B32D7E">
        <w:rPr>
          <w:rFonts w:eastAsiaTheme="minorEastAsia"/>
          <w:lang w:eastAsia="en-IE"/>
        </w:rPr>
        <w:t>Around 38% of Ireland’s population is dispersed throughout rural Ireland. The majority of the dispersed rural population will have limited access to rail, largely only achievable by car travel to/from rail stations. For this group rail is highly unlikely to be a mode of choice in meeting their regular travel demands.</w:t>
      </w:r>
    </w:p>
    <w:p w:rsidR="00F0119D" w:rsidRPr="00B32D7E" w:rsidRDefault="00F0119D" w:rsidP="00F0119D">
      <w:pPr>
        <w:pStyle w:val="ListParagraph"/>
        <w:jc w:val="both"/>
        <w:rPr>
          <w:rFonts w:eastAsiaTheme="minorEastAsia"/>
          <w:lang w:eastAsia="en-IE"/>
        </w:rPr>
      </w:pPr>
    </w:p>
    <w:p w:rsidR="00F0119D" w:rsidRPr="00B32D7E" w:rsidRDefault="00F0119D" w:rsidP="00F0119D">
      <w:pPr>
        <w:pStyle w:val="ListParagraph"/>
        <w:numPr>
          <w:ilvl w:val="0"/>
          <w:numId w:val="13"/>
        </w:numPr>
        <w:jc w:val="both"/>
        <w:rPr>
          <w:rFonts w:eastAsiaTheme="minorEastAsia"/>
          <w:lang w:eastAsia="en-IE"/>
        </w:rPr>
      </w:pPr>
      <w:r w:rsidRPr="00B32D7E">
        <w:rPr>
          <w:rFonts w:eastAsiaTheme="minorEastAsia"/>
          <w:lang w:eastAsia="en-IE"/>
        </w:rPr>
        <w:t>Approximately 30% of the rail stations on the network are located outside of urban areas or in settlements where the resident population is less than 1,000. As rail relies on a critical mass of population and population density, this significantly limits the potential market for rail now and into the future.</w:t>
      </w:r>
    </w:p>
    <w:p w:rsidR="00F0119D" w:rsidRPr="00B32D7E" w:rsidRDefault="00F0119D" w:rsidP="00F0119D">
      <w:pPr>
        <w:pStyle w:val="ListParagraph"/>
        <w:jc w:val="both"/>
        <w:rPr>
          <w:rFonts w:eastAsiaTheme="minorEastAsia"/>
          <w:lang w:eastAsia="en-IE"/>
        </w:rPr>
      </w:pPr>
    </w:p>
    <w:p w:rsidR="00F0119D" w:rsidRPr="00B32D7E" w:rsidRDefault="00F0119D" w:rsidP="00F0119D">
      <w:pPr>
        <w:pStyle w:val="ListParagraph"/>
        <w:numPr>
          <w:ilvl w:val="0"/>
          <w:numId w:val="13"/>
        </w:numPr>
        <w:jc w:val="both"/>
        <w:rPr>
          <w:rFonts w:eastAsiaTheme="minorEastAsia"/>
          <w:lang w:eastAsia="en-IE"/>
        </w:rPr>
      </w:pPr>
      <w:r w:rsidRPr="00B32D7E">
        <w:rPr>
          <w:rFonts w:eastAsiaTheme="minorEastAsia" w:cstheme="minorHAnsi"/>
          <w:lang w:eastAsia="en-IE"/>
        </w:rPr>
        <w:t xml:space="preserve">Travel demand nationally is dominated by short journeys. In </w:t>
      </w:r>
      <w:r w:rsidRPr="00A46661">
        <w:rPr>
          <w:rFonts w:eastAsiaTheme="minorEastAsia" w:cstheme="minorHAnsi"/>
          <w:lang w:eastAsia="en-IE"/>
        </w:rPr>
        <w:t>total, 41%</w:t>
      </w:r>
      <w:r w:rsidRPr="00B32D7E">
        <w:rPr>
          <w:rFonts w:eastAsiaTheme="minorEastAsia" w:cstheme="minorHAnsi"/>
          <w:lang w:eastAsia="en-IE"/>
        </w:rPr>
        <w:t xml:space="preserve"> of all journeys are four kilometres or less, and a </w:t>
      </w:r>
      <w:r w:rsidRPr="00A46661">
        <w:rPr>
          <w:rFonts w:eastAsiaTheme="minorEastAsia" w:cstheme="minorHAnsi"/>
          <w:lang w:eastAsia="en-IE"/>
        </w:rPr>
        <w:t>further 17%</w:t>
      </w:r>
      <w:r w:rsidRPr="00B32D7E">
        <w:rPr>
          <w:rFonts w:eastAsiaTheme="minorEastAsia" w:cstheme="minorHAnsi"/>
          <w:lang w:eastAsia="en-IE"/>
        </w:rPr>
        <w:t xml:space="preserve"> are between four and eight kilometres. </w:t>
      </w:r>
      <w:r w:rsidR="00345486">
        <w:rPr>
          <w:rFonts w:eastAsiaTheme="minorEastAsia" w:cstheme="minorHAnsi"/>
          <w:lang w:eastAsia="en-IE"/>
        </w:rPr>
        <w:t>Generally, r</w:t>
      </w:r>
      <w:r w:rsidRPr="00B32D7E">
        <w:rPr>
          <w:rFonts w:eastAsiaTheme="minorEastAsia" w:cstheme="minorHAnsi"/>
          <w:lang w:eastAsia="en-IE"/>
        </w:rPr>
        <w:t xml:space="preserve">ail is not the best-fit for short-distance travel and, with the exception of parts of the DART in Dublin and, to a lesser extent, the Cork Suburban </w:t>
      </w:r>
      <w:proofErr w:type="gramStart"/>
      <w:r w:rsidRPr="00B32D7E">
        <w:rPr>
          <w:rFonts w:eastAsiaTheme="minorEastAsia" w:cstheme="minorHAnsi"/>
          <w:lang w:eastAsia="en-IE"/>
        </w:rPr>
        <w:t>network,</w:t>
      </w:r>
      <w:proofErr w:type="gramEnd"/>
      <w:r w:rsidRPr="00B32D7E">
        <w:rPr>
          <w:rFonts w:eastAsiaTheme="minorEastAsia" w:cstheme="minorHAnsi"/>
          <w:lang w:eastAsia="en-IE"/>
        </w:rPr>
        <w:t xml:space="preserve"> heavy rail cannot compete for these journeys.</w:t>
      </w:r>
    </w:p>
    <w:p w:rsidR="00F0119D" w:rsidRPr="00B32D7E" w:rsidRDefault="00F0119D" w:rsidP="00F0119D">
      <w:pPr>
        <w:pStyle w:val="ListParagraph"/>
        <w:rPr>
          <w:rFonts w:eastAsiaTheme="minorEastAsia"/>
          <w:lang w:eastAsia="en-IE"/>
        </w:rPr>
      </w:pPr>
    </w:p>
    <w:p w:rsidR="00F0119D" w:rsidRPr="00B32D7E" w:rsidRDefault="00F0119D" w:rsidP="00F0119D">
      <w:pPr>
        <w:pStyle w:val="ListParagraph"/>
        <w:numPr>
          <w:ilvl w:val="0"/>
          <w:numId w:val="13"/>
        </w:numPr>
        <w:jc w:val="both"/>
        <w:rPr>
          <w:rFonts w:eastAsiaTheme="minorEastAsia"/>
          <w:lang w:eastAsia="en-IE"/>
        </w:rPr>
      </w:pPr>
      <w:r w:rsidRPr="00B32D7E">
        <w:rPr>
          <w:rFonts w:eastAsiaTheme="minorEastAsia"/>
          <w:lang w:eastAsia="en-IE"/>
        </w:rPr>
        <w:t xml:space="preserve">Development and associated demand for travel is also skewed regionally. More </w:t>
      </w:r>
      <w:r w:rsidRPr="00A46661">
        <w:rPr>
          <w:rFonts w:eastAsiaTheme="minorEastAsia"/>
          <w:lang w:eastAsia="en-IE"/>
        </w:rPr>
        <w:t>than 27%</w:t>
      </w:r>
      <w:r w:rsidRPr="00B32D7E">
        <w:rPr>
          <w:rFonts w:eastAsiaTheme="minorEastAsia"/>
          <w:lang w:eastAsia="en-IE"/>
        </w:rPr>
        <w:t xml:space="preserve"> of the country’s population lives in Dublin and 39% live in the Greater Dublin Area</w:t>
      </w:r>
      <w:r w:rsidRPr="00A46661">
        <w:rPr>
          <w:rFonts w:eastAsiaTheme="minorEastAsia"/>
          <w:lang w:eastAsia="en-IE"/>
        </w:rPr>
        <w:t>. 35%</w:t>
      </w:r>
      <w:r w:rsidRPr="00B32D7E">
        <w:rPr>
          <w:rFonts w:eastAsiaTheme="minorEastAsia"/>
          <w:lang w:eastAsia="en-IE"/>
        </w:rPr>
        <w:t xml:space="preserve"> of the jobs are in Dublin </w:t>
      </w:r>
      <w:r w:rsidRPr="00A46661">
        <w:rPr>
          <w:rFonts w:eastAsiaTheme="minorEastAsia"/>
          <w:lang w:eastAsia="en-IE"/>
        </w:rPr>
        <w:t>and 43%</w:t>
      </w:r>
      <w:r w:rsidRPr="00B32D7E">
        <w:rPr>
          <w:rFonts w:eastAsiaTheme="minorEastAsia"/>
          <w:lang w:eastAsia="en-IE"/>
        </w:rPr>
        <w:t xml:space="preserve"> are in the Greater Dublin Area. The volume and characteristics of travel demand generated in relation to Dublin is unique in comparison with the rest of the country due to the size and strengths of the Dublin city region.  </w:t>
      </w:r>
    </w:p>
    <w:p w:rsidR="00F0119D" w:rsidRPr="00B32D7E" w:rsidRDefault="00F0119D" w:rsidP="00F0119D">
      <w:pPr>
        <w:pStyle w:val="ListParagraph"/>
        <w:rPr>
          <w:rFonts w:eastAsiaTheme="minorEastAsia"/>
          <w:lang w:eastAsia="en-IE"/>
        </w:rPr>
      </w:pPr>
    </w:p>
    <w:p w:rsidR="00F0119D" w:rsidRPr="00B32D7E" w:rsidRDefault="00F0119D" w:rsidP="00F0119D">
      <w:pPr>
        <w:pStyle w:val="ListParagraph"/>
        <w:numPr>
          <w:ilvl w:val="0"/>
          <w:numId w:val="13"/>
        </w:numPr>
        <w:jc w:val="both"/>
      </w:pPr>
      <w:r w:rsidRPr="00B32D7E">
        <w:t xml:space="preserve">Land-use patterns in Ireland, outside of Dublin, are dominated by low to medium density development in suburban areas, highly dispersed rural populations and the growth in peripheral development of services and employment. This settlement and employment locational context, which dictates travel demand, is difficult to serve by public transport, particularly by rail, as a critical mass of population, employment and education located close to rail stations is required. </w:t>
      </w:r>
    </w:p>
    <w:p w:rsidR="00F0119D" w:rsidRPr="00B32D7E" w:rsidRDefault="00F0119D" w:rsidP="00F0119D">
      <w:pPr>
        <w:pStyle w:val="ListParagraph"/>
      </w:pPr>
    </w:p>
    <w:p w:rsidR="00F0119D" w:rsidRPr="00B32D7E" w:rsidRDefault="00F0119D" w:rsidP="00F0119D">
      <w:pPr>
        <w:pStyle w:val="ListParagraph"/>
        <w:numPr>
          <w:ilvl w:val="0"/>
          <w:numId w:val="13"/>
        </w:numPr>
        <w:jc w:val="both"/>
      </w:pPr>
      <w:r w:rsidRPr="00B32D7E">
        <w:t xml:space="preserve">The matching of high capacity public transport with complementary development has not been that well achieved to date in Dublin and Cork. Trip intensive </w:t>
      </w:r>
      <w:proofErr w:type="gramStart"/>
      <w:r w:rsidRPr="00B32D7E">
        <w:t>development</w:t>
      </w:r>
      <w:proofErr w:type="gramEnd"/>
      <w:r w:rsidRPr="00B32D7E">
        <w:t xml:space="preserve"> destinations (retail, employment) have been built that heavily rely on access by the private car.</w:t>
      </w:r>
    </w:p>
    <w:p w:rsidR="00F0119D" w:rsidRPr="00B32D7E" w:rsidRDefault="00F0119D" w:rsidP="00F0119D">
      <w:pPr>
        <w:pStyle w:val="ListParagraph"/>
      </w:pPr>
    </w:p>
    <w:p w:rsidR="00F0119D" w:rsidRPr="00B32D7E" w:rsidRDefault="00F0119D" w:rsidP="00F0119D">
      <w:pPr>
        <w:pStyle w:val="ListParagraph"/>
        <w:numPr>
          <w:ilvl w:val="0"/>
          <w:numId w:val="13"/>
        </w:numPr>
        <w:jc w:val="both"/>
      </w:pPr>
      <w:r w:rsidRPr="00B32D7E">
        <w:lastRenderedPageBreak/>
        <w:t>Rail offers a unique ability to move freight traffic in larger volumes and/or at higher speeds particularly using existing lines and assets that specifically have direct connectivity between Ports and inland distribution hubs. However, the extent to which further growth in rail freight occurs will depend on both how rail can commercially compete with the road alternative and future policy on how certain material and products, such as biomass and waste, should be transported.</w:t>
      </w:r>
    </w:p>
    <w:p w:rsidR="00F0119D" w:rsidRPr="00B32D7E" w:rsidRDefault="00F0119D" w:rsidP="00F0119D">
      <w:pPr>
        <w:pStyle w:val="ListParagraph"/>
      </w:pPr>
    </w:p>
    <w:p w:rsidR="00F0119D" w:rsidRPr="00B32D7E" w:rsidRDefault="00F0119D" w:rsidP="00F0119D">
      <w:pPr>
        <w:pStyle w:val="ListParagraph"/>
        <w:numPr>
          <w:ilvl w:val="0"/>
          <w:numId w:val="13"/>
        </w:numPr>
        <w:jc w:val="both"/>
      </w:pPr>
      <w:r w:rsidRPr="00B32D7E">
        <w:t>A further challenge to rail freight is where investment is required in infrastructure to create connectivity with potential new traffic. The return on investment may be challenging due to the volumes of freight traffic required and competition from road hauliers who do not have the same infrastructure investment needs.</w:t>
      </w:r>
    </w:p>
    <w:p w:rsidR="00974CC1" w:rsidRPr="00B32D7E" w:rsidRDefault="00974CC1" w:rsidP="00974CC1">
      <w:pPr>
        <w:pStyle w:val="Heading2"/>
      </w:pPr>
      <w:r w:rsidRPr="00B32D7E">
        <w:t>3.2</w:t>
      </w:r>
      <w:r w:rsidRPr="00B32D7E">
        <w:tab/>
        <w:t xml:space="preserve">Competition </w:t>
      </w:r>
      <w:r w:rsidR="00CD5778">
        <w:t>with o</w:t>
      </w:r>
      <w:r w:rsidRPr="00B32D7E">
        <w:t>ther modes</w:t>
      </w:r>
      <w:r w:rsidR="00CD5778">
        <w:t xml:space="preserve"> of transport </w:t>
      </w:r>
    </w:p>
    <w:p w:rsidR="00D00737" w:rsidRPr="00B32D7E" w:rsidRDefault="00F0119D" w:rsidP="00D00737">
      <w:pPr>
        <w:jc w:val="both"/>
        <w:rPr>
          <w:rFonts w:eastAsiaTheme="minorEastAsia" w:cstheme="minorHAnsi"/>
          <w:lang w:eastAsia="en-IE"/>
        </w:rPr>
      </w:pPr>
      <w:r w:rsidRPr="00B32D7E">
        <w:rPr>
          <w:rFonts w:eastAsiaTheme="minorEastAsia" w:cstheme="minorHAnsi"/>
          <w:lang w:eastAsia="en-IE"/>
        </w:rPr>
        <w:t xml:space="preserve">Rail must compete for market share with both </w:t>
      </w:r>
      <w:r w:rsidR="00CD5778">
        <w:rPr>
          <w:rFonts w:eastAsiaTheme="minorEastAsia" w:cstheme="minorHAnsi"/>
          <w:lang w:eastAsia="en-IE"/>
        </w:rPr>
        <w:t>C</w:t>
      </w:r>
      <w:r w:rsidRPr="00B32D7E">
        <w:rPr>
          <w:rFonts w:eastAsiaTheme="minorEastAsia" w:cstheme="minorHAnsi"/>
          <w:lang w:eastAsia="en-IE"/>
        </w:rPr>
        <w:t xml:space="preserve">ar and </w:t>
      </w:r>
      <w:r w:rsidR="00CD5778">
        <w:rPr>
          <w:rFonts w:eastAsiaTheme="minorEastAsia" w:cstheme="minorHAnsi"/>
          <w:lang w:eastAsia="en-IE"/>
        </w:rPr>
        <w:t>B</w:t>
      </w:r>
      <w:r w:rsidRPr="00B32D7E">
        <w:rPr>
          <w:rFonts w:eastAsiaTheme="minorEastAsia" w:cstheme="minorHAnsi"/>
          <w:lang w:eastAsia="en-IE"/>
        </w:rPr>
        <w:t xml:space="preserve">us in terms of cost, journey times, </w:t>
      </w:r>
      <w:proofErr w:type="gramStart"/>
      <w:r w:rsidR="00434318">
        <w:rPr>
          <w:rFonts w:eastAsiaTheme="minorEastAsia" w:cstheme="minorHAnsi"/>
          <w:lang w:eastAsia="en-IE"/>
        </w:rPr>
        <w:t>choices</w:t>
      </w:r>
      <w:proofErr w:type="gramEnd"/>
      <w:r w:rsidR="00434318">
        <w:rPr>
          <w:rFonts w:eastAsiaTheme="minorEastAsia" w:cstheme="minorHAnsi"/>
          <w:lang w:eastAsia="en-IE"/>
        </w:rPr>
        <w:t xml:space="preserve"> of times to travel, </w:t>
      </w:r>
      <w:r w:rsidRPr="00B32D7E">
        <w:rPr>
          <w:rFonts w:eastAsiaTheme="minorEastAsia" w:cstheme="minorHAnsi"/>
          <w:lang w:eastAsia="en-IE"/>
        </w:rPr>
        <w:t>reliability</w:t>
      </w:r>
      <w:r w:rsidR="00434318">
        <w:rPr>
          <w:rFonts w:eastAsiaTheme="minorEastAsia" w:cstheme="minorHAnsi"/>
          <w:lang w:eastAsia="en-IE"/>
        </w:rPr>
        <w:t xml:space="preserve"> and quality of customer experience</w:t>
      </w:r>
      <w:r w:rsidRPr="00B32D7E">
        <w:rPr>
          <w:rFonts w:eastAsiaTheme="minorEastAsia" w:cstheme="minorHAnsi"/>
          <w:lang w:eastAsia="en-IE"/>
        </w:rPr>
        <w:t xml:space="preserve">.  </w:t>
      </w:r>
      <w:r w:rsidR="00D00737" w:rsidRPr="00B32D7E">
        <w:rPr>
          <w:rFonts w:eastAsiaTheme="minorEastAsia" w:cstheme="minorHAnsi"/>
          <w:lang w:eastAsia="en-IE"/>
        </w:rPr>
        <w:t>There are a number of factors leading to the increase</w:t>
      </w:r>
      <w:r w:rsidR="00434318">
        <w:rPr>
          <w:rFonts w:eastAsiaTheme="minorEastAsia" w:cstheme="minorHAnsi"/>
          <w:lang w:eastAsia="en-IE"/>
        </w:rPr>
        <w:t xml:space="preserve"> in</w:t>
      </w:r>
      <w:r w:rsidR="00D00737" w:rsidRPr="00B32D7E">
        <w:rPr>
          <w:rFonts w:eastAsiaTheme="minorEastAsia" w:cstheme="minorHAnsi"/>
          <w:lang w:eastAsia="en-IE"/>
        </w:rPr>
        <w:t xml:space="preserve"> competition </w:t>
      </w:r>
      <w:r w:rsidR="00434318">
        <w:rPr>
          <w:rFonts w:eastAsiaTheme="minorEastAsia" w:cstheme="minorHAnsi"/>
          <w:lang w:eastAsia="en-IE"/>
        </w:rPr>
        <w:t xml:space="preserve">with </w:t>
      </w:r>
      <w:r w:rsidR="00CD5778">
        <w:rPr>
          <w:rFonts w:eastAsiaTheme="minorEastAsia" w:cstheme="minorHAnsi"/>
          <w:lang w:eastAsia="en-IE"/>
        </w:rPr>
        <w:t>C</w:t>
      </w:r>
      <w:r w:rsidR="00D00737" w:rsidRPr="00B32D7E">
        <w:rPr>
          <w:rFonts w:eastAsiaTheme="minorEastAsia" w:cstheme="minorHAnsi"/>
          <w:lang w:eastAsia="en-IE"/>
        </w:rPr>
        <w:t xml:space="preserve">ar and </w:t>
      </w:r>
      <w:r w:rsidR="00CD5778">
        <w:rPr>
          <w:rFonts w:eastAsiaTheme="minorEastAsia" w:cstheme="minorHAnsi"/>
          <w:lang w:eastAsia="en-IE"/>
        </w:rPr>
        <w:t>B</w:t>
      </w:r>
      <w:r w:rsidR="00D00737" w:rsidRPr="00B32D7E">
        <w:rPr>
          <w:rFonts w:eastAsiaTheme="minorEastAsia" w:cstheme="minorHAnsi"/>
          <w:lang w:eastAsia="en-IE"/>
        </w:rPr>
        <w:t>us</w:t>
      </w:r>
      <w:r w:rsidR="00434318">
        <w:rPr>
          <w:rFonts w:eastAsiaTheme="minorEastAsia" w:cstheme="minorHAnsi"/>
          <w:lang w:eastAsia="en-IE"/>
        </w:rPr>
        <w:t>,</w:t>
      </w:r>
      <w:r w:rsidR="00D00737" w:rsidRPr="00B32D7E">
        <w:rPr>
          <w:rFonts w:eastAsiaTheme="minorEastAsia" w:cstheme="minorHAnsi"/>
          <w:lang w:eastAsia="en-IE"/>
        </w:rPr>
        <w:t xml:space="preserve"> as follows:</w:t>
      </w:r>
      <w:r w:rsidRPr="00B32D7E">
        <w:rPr>
          <w:rFonts w:eastAsiaTheme="minorEastAsia" w:cstheme="minorHAnsi"/>
          <w:lang w:eastAsia="en-IE"/>
        </w:rPr>
        <w:t xml:space="preserve"> </w:t>
      </w:r>
    </w:p>
    <w:p w:rsidR="00F0119D" w:rsidRPr="00B32D7E" w:rsidRDefault="00F0119D" w:rsidP="00D00737">
      <w:pPr>
        <w:pStyle w:val="ListParagraph"/>
        <w:numPr>
          <w:ilvl w:val="0"/>
          <w:numId w:val="40"/>
        </w:numPr>
        <w:jc w:val="both"/>
      </w:pPr>
      <w:r w:rsidRPr="00B32D7E">
        <w:t>Both the car fleet and commercial vehicle fleet have roughly doubled in size compared to their levels in the early 1990’s. The increase in car ownership has had the knock on impact of a decline in use of other</w:t>
      </w:r>
      <w:r w:rsidR="008F7773">
        <w:t xml:space="preserve"> travel</w:t>
      </w:r>
      <w:r w:rsidRPr="00B32D7E">
        <w:t xml:space="preserve"> modes. </w:t>
      </w:r>
    </w:p>
    <w:p w:rsidR="00F0119D" w:rsidRPr="00B32D7E" w:rsidRDefault="00F0119D" w:rsidP="00F0119D">
      <w:pPr>
        <w:pStyle w:val="ListParagraph"/>
        <w:numPr>
          <w:ilvl w:val="0"/>
          <w:numId w:val="14"/>
        </w:numPr>
        <w:jc w:val="both"/>
      </w:pPr>
      <w:r w:rsidRPr="00B32D7E">
        <w:rPr>
          <w:rFonts w:eastAsiaTheme="minorEastAsia" w:cstheme="minorHAnsi"/>
          <w:lang w:eastAsia="en-IE"/>
        </w:rPr>
        <w:t xml:space="preserve">The additional flexibility provided with car travel and the fact that car can provide door to door accessibility </w:t>
      </w:r>
      <w:r w:rsidR="00A774F2">
        <w:rPr>
          <w:rFonts w:eastAsiaTheme="minorEastAsia" w:cstheme="minorHAnsi"/>
          <w:lang w:eastAsia="en-IE"/>
        </w:rPr>
        <w:t xml:space="preserve">explains its continued </w:t>
      </w:r>
      <w:r w:rsidRPr="00B32D7E">
        <w:rPr>
          <w:rFonts w:eastAsiaTheme="minorEastAsia" w:cstheme="minorHAnsi"/>
          <w:lang w:eastAsia="en-IE"/>
        </w:rPr>
        <w:t xml:space="preserve">attractiveness. </w:t>
      </w:r>
    </w:p>
    <w:p w:rsidR="00F0119D" w:rsidRPr="00B32D7E" w:rsidRDefault="00F0119D" w:rsidP="00F0119D">
      <w:pPr>
        <w:pStyle w:val="ListParagraph"/>
        <w:numPr>
          <w:ilvl w:val="0"/>
          <w:numId w:val="14"/>
        </w:numPr>
        <w:jc w:val="both"/>
      </w:pPr>
      <w:r w:rsidRPr="00B32D7E">
        <w:t>In recent years there has also been a dramatic reduction of approximately 40% in journey times by road between Dublin and other cities (Belfast, Cork, Galway, Limerick, Waterford) as a result of roads investment programmes and the completion of the Major Inter</w:t>
      </w:r>
      <w:r w:rsidR="00345486">
        <w:t>-</w:t>
      </w:r>
      <w:r w:rsidRPr="00B32D7E">
        <w:t xml:space="preserve">Urban Motorway programme. This has increased the attractiveness of travel by car </w:t>
      </w:r>
      <w:r w:rsidR="00EC312F">
        <w:t xml:space="preserve">and by bus </w:t>
      </w:r>
      <w:r w:rsidRPr="00B32D7E">
        <w:t xml:space="preserve">for intercity journeys, in direct competition with </w:t>
      </w:r>
      <w:proofErr w:type="gramStart"/>
      <w:r w:rsidRPr="00B32D7E">
        <w:t>Intercity</w:t>
      </w:r>
      <w:proofErr w:type="gramEnd"/>
      <w:r w:rsidRPr="00B32D7E">
        <w:t xml:space="preserve"> rail. </w:t>
      </w:r>
    </w:p>
    <w:p w:rsidR="00F0119D" w:rsidRPr="00B32D7E" w:rsidRDefault="00F0119D" w:rsidP="00F0119D">
      <w:pPr>
        <w:pStyle w:val="ListParagraph"/>
        <w:numPr>
          <w:ilvl w:val="0"/>
          <w:numId w:val="15"/>
        </w:numPr>
        <w:jc w:val="both"/>
        <w:rPr>
          <w:rFonts w:eastAsiaTheme="minorEastAsia" w:cstheme="minorHAnsi"/>
          <w:lang w:eastAsia="en-IE"/>
        </w:rPr>
      </w:pPr>
      <w:r w:rsidRPr="00B32D7E">
        <w:rPr>
          <w:rFonts w:eastAsiaTheme="minorEastAsia" w:cstheme="minorHAnsi"/>
          <w:lang w:eastAsia="en-IE"/>
        </w:rPr>
        <w:t xml:space="preserve">The development of the licensed commercial bus market (accounting for over 9% of public transport travel in 2015) has increased </w:t>
      </w:r>
      <w:r w:rsidR="00EC312F">
        <w:rPr>
          <w:rFonts w:eastAsiaTheme="minorEastAsia" w:cstheme="minorHAnsi"/>
          <w:lang w:eastAsia="en-IE"/>
        </w:rPr>
        <w:t xml:space="preserve">the </w:t>
      </w:r>
      <w:r w:rsidRPr="00B32D7E">
        <w:rPr>
          <w:rFonts w:eastAsiaTheme="minorEastAsia" w:cstheme="minorHAnsi"/>
          <w:lang w:eastAsia="en-IE"/>
        </w:rPr>
        <w:t>choice</w:t>
      </w:r>
      <w:r w:rsidR="00EC312F">
        <w:rPr>
          <w:rFonts w:eastAsiaTheme="minorEastAsia" w:cstheme="minorHAnsi"/>
          <w:lang w:eastAsia="en-IE"/>
        </w:rPr>
        <w:t>s</w:t>
      </w:r>
      <w:r w:rsidRPr="00B32D7E">
        <w:rPr>
          <w:rFonts w:eastAsiaTheme="minorEastAsia" w:cstheme="minorHAnsi"/>
          <w:lang w:eastAsia="en-IE"/>
        </w:rPr>
        <w:t xml:space="preserve"> </w:t>
      </w:r>
      <w:r w:rsidR="00EC312F">
        <w:rPr>
          <w:rFonts w:eastAsiaTheme="minorEastAsia" w:cstheme="minorHAnsi"/>
          <w:lang w:eastAsia="en-IE"/>
        </w:rPr>
        <w:t xml:space="preserve">available to </w:t>
      </w:r>
      <w:r w:rsidRPr="00B32D7E">
        <w:rPr>
          <w:rFonts w:eastAsiaTheme="minorEastAsia" w:cstheme="minorHAnsi"/>
          <w:lang w:eastAsia="en-IE"/>
        </w:rPr>
        <w:t xml:space="preserve">consumers with a number of operators offering tailored inter-city and commuter travel options. </w:t>
      </w:r>
    </w:p>
    <w:p w:rsidR="00F0119D" w:rsidRPr="00B32D7E" w:rsidRDefault="00F0119D" w:rsidP="00F0119D">
      <w:pPr>
        <w:pStyle w:val="ListParagraph"/>
        <w:numPr>
          <w:ilvl w:val="0"/>
          <w:numId w:val="15"/>
        </w:numPr>
        <w:jc w:val="both"/>
        <w:rPr>
          <w:rFonts w:eastAsiaTheme="minorEastAsia" w:cstheme="minorHAnsi"/>
          <w:lang w:eastAsia="en-IE"/>
        </w:rPr>
      </w:pPr>
      <w:r w:rsidRPr="00B32D7E">
        <w:rPr>
          <w:rFonts w:eastAsiaTheme="minorEastAsia" w:cstheme="minorHAnsi"/>
          <w:lang w:eastAsia="en-IE"/>
        </w:rPr>
        <w:t>Service improvements, for example in the provision</w:t>
      </w:r>
      <w:r w:rsidR="002735E4">
        <w:rPr>
          <w:rFonts w:eastAsiaTheme="minorEastAsia" w:cstheme="minorHAnsi"/>
          <w:lang w:eastAsia="en-IE"/>
        </w:rPr>
        <w:t xml:space="preserve"> of</w:t>
      </w:r>
      <w:r w:rsidRPr="00B32D7E">
        <w:rPr>
          <w:rFonts w:eastAsiaTheme="minorEastAsia" w:cstheme="minorHAnsi"/>
          <w:lang w:eastAsia="en-IE"/>
        </w:rPr>
        <w:t xml:space="preserve"> free on-board Wi-Fi and competitive fares have </w:t>
      </w:r>
      <w:r w:rsidR="00C7313B" w:rsidRPr="00B32D7E">
        <w:rPr>
          <w:rFonts w:eastAsiaTheme="minorEastAsia" w:cstheme="minorHAnsi"/>
          <w:lang w:eastAsia="en-IE"/>
        </w:rPr>
        <w:t xml:space="preserve">also </w:t>
      </w:r>
      <w:r w:rsidRPr="00B32D7E">
        <w:rPr>
          <w:rFonts w:eastAsiaTheme="minorEastAsia" w:cstheme="minorHAnsi"/>
          <w:lang w:eastAsia="en-IE"/>
        </w:rPr>
        <w:t xml:space="preserve">increased the attractiveness of travel by bus </w:t>
      </w:r>
      <w:r w:rsidR="00EC312F">
        <w:rPr>
          <w:rFonts w:eastAsiaTheme="minorEastAsia" w:cstheme="minorHAnsi"/>
          <w:lang w:eastAsia="en-IE"/>
        </w:rPr>
        <w:t xml:space="preserve">as </w:t>
      </w:r>
      <w:r w:rsidRPr="00B32D7E">
        <w:rPr>
          <w:rFonts w:eastAsiaTheme="minorEastAsia" w:cstheme="minorHAnsi"/>
          <w:lang w:eastAsia="en-IE"/>
        </w:rPr>
        <w:t xml:space="preserve">against rail. </w:t>
      </w:r>
    </w:p>
    <w:p w:rsidR="00F0119D" w:rsidRPr="00B32D7E" w:rsidRDefault="00F0119D" w:rsidP="00F0119D">
      <w:pPr>
        <w:pStyle w:val="ListParagraph"/>
        <w:numPr>
          <w:ilvl w:val="0"/>
          <w:numId w:val="15"/>
        </w:numPr>
        <w:jc w:val="both"/>
        <w:rPr>
          <w:rFonts w:eastAsiaTheme="minorEastAsia" w:cstheme="minorHAnsi"/>
          <w:lang w:eastAsia="en-IE"/>
        </w:rPr>
      </w:pPr>
      <w:r w:rsidRPr="00B32D7E">
        <w:rPr>
          <w:rFonts w:eastAsiaTheme="minorEastAsia" w:cstheme="minorHAnsi"/>
          <w:lang w:eastAsia="en-IE"/>
        </w:rPr>
        <w:t>Bus also benefits from being able to provide more direct access to destinations, for example it can more easily serve suburban residential areas or edge</w:t>
      </w:r>
      <w:r w:rsidR="00345486">
        <w:rPr>
          <w:rFonts w:eastAsiaTheme="minorEastAsia" w:cstheme="minorHAnsi"/>
          <w:lang w:eastAsia="en-IE"/>
        </w:rPr>
        <w:t>-</w:t>
      </w:r>
      <w:r w:rsidRPr="00B32D7E">
        <w:rPr>
          <w:rFonts w:eastAsiaTheme="minorEastAsia" w:cstheme="minorHAnsi"/>
          <w:lang w:eastAsia="en-IE"/>
        </w:rPr>
        <w:t>of</w:t>
      </w:r>
      <w:r w:rsidR="00345486">
        <w:rPr>
          <w:rFonts w:eastAsiaTheme="minorEastAsia" w:cstheme="minorHAnsi"/>
          <w:lang w:eastAsia="en-IE"/>
        </w:rPr>
        <w:t>-</w:t>
      </w:r>
      <w:r w:rsidRPr="00B32D7E">
        <w:rPr>
          <w:rFonts w:eastAsiaTheme="minorEastAsia" w:cstheme="minorHAnsi"/>
          <w:lang w:eastAsia="en-IE"/>
        </w:rPr>
        <w:t xml:space="preserve">centre employment locations, reducing the need to interchange. </w:t>
      </w:r>
    </w:p>
    <w:p w:rsidR="00974CC1" w:rsidRPr="00B32D7E" w:rsidRDefault="002735E4" w:rsidP="00C45F7A">
      <w:pPr>
        <w:jc w:val="both"/>
        <w:rPr>
          <w:rFonts w:eastAsiaTheme="minorEastAsia" w:cstheme="minorHAnsi"/>
          <w:lang w:eastAsia="en-IE"/>
        </w:rPr>
      </w:pPr>
      <w:r>
        <w:rPr>
          <w:rFonts w:eastAsiaTheme="minorEastAsia" w:cstheme="minorHAnsi"/>
          <w:lang w:eastAsia="en-IE"/>
        </w:rPr>
        <w:t>While r</w:t>
      </w:r>
      <w:r w:rsidR="00576F81" w:rsidRPr="00B32D7E">
        <w:t>ail in Ireland has suffered in recent years from competition on road</w:t>
      </w:r>
      <w:r>
        <w:t xml:space="preserve"> with the completion of the Major Inter-Urban Motorway programme it is likely that </w:t>
      </w:r>
      <w:r w:rsidR="00576F81" w:rsidRPr="00B32D7E">
        <w:t>any gains in terms of improved journey times by car and bus have peaked. This</w:t>
      </w:r>
      <w:r w:rsidR="00557980" w:rsidRPr="00B32D7E">
        <w:t xml:space="preserve"> may</w:t>
      </w:r>
      <w:r w:rsidR="00576F81" w:rsidRPr="00B32D7E">
        <w:t xml:space="preserve"> </w:t>
      </w:r>
      <w:r w:rsidR="00557980" w:rsidRPr="00B32D7E">
        <w:t xml:space="preserve">now </w:t>
      </w:r>
      <w:r w:rsidR="00576F81" w:rsidRPr="00B32D7E">
        <w:t xml:space="preserve">offer an opportunity for rail to become more competitive </w:t>
      </w:r>
      <w:r w:rsidR="00046938">
        <w:t>in the future</w:t>
      </w:r>
      <w:r w:rsidR="00A46661">
        <w:t xml:space="preserve"> particularly if improvements can be made to line speeds thereby reducing journey times</w:t>
      </w:r>
      <w:r w:rsidR="00576F81" w:rsidRPr="00B32D7E">
        <w:t>.</w:t>
      </w:r>
      <w:r w:rsidR="00557980" w:rsidRPr="00B32D7E">
        <w:t xml:space="preserve"> </w:t>
      </w:r>
      <w:bookmarkStart w:id="10" w:name="_Toc416710824"/>
    </w:p>
    <w:p w:rsidR="00974CC1" w:rsidRPr="00B32D7E" w:rsidRDefault="00974CC1" w:rsidP="00974CC1">
      <w:pPr>
        <w:pStyle w:val="Heading1"/>
      </w:pPr>
      <w:r w:rsidRPr="00B32D7E">
        <w:lastRenderedPageBreak/>
        <w:t xml:space="preserve">Funding, financial situation and needs   </w:t>
      </w:r>
    </w:p>
    <w:p w:rsidR="00D00737" w:rsidRPr="00B32D7E" w:rsidRDefault="00974CC1" w:rsidP="00D00737">
      <w:pPr>
        <w:pStyle w:val="Heading2"/>
      </w:pPr>
      <w:r w:rsidRPr="00B32D7E">
        <w:t>4</w:t>
      </w:r>
      <w:r w:rsidR="00D00737" w:rsidRPr="00B32D7E">
        <w:t xml:space="preserve">.1 </w:t>
      </w:r>
      <w:r w:rsidR="00D00737" w:rsidRPr="00B32D7E">
        <w:tab/>
        <w:t>Sources of rail funding</w:t>
      </w:r>
    </w:p>
    <w:p w:rsidR="00D00737" w:rsidRPr="00B32D7E" w:rsidRDefault="007700A1" w:rsidP="00D00737">
      <w:pPr>
        <w:jc w:val="both"/>
      </w:pPr>
      <w:r>
        <w:t>In 2015</w:t>
      </w:r>
      <w:r w:rsidR="00C00C3D">
        <w:t xml:space="preserve"> – the most recent full financial year of operation - </w:t>
      </w:r>
      <w:r>
        <w:t xml:space="preserve">the </w:t>
      </w:r>
      <w:r w:rsidR="00297673">
        <w:t>rail system cost €</w:t>
      </w:r>
      <w:r w:rsidR="00225054">
        <w:t>550</w:t>
      </w:r>
      <w:r w:rsidR="00297673">
        <w:t xml:space="preserve"> million for services, maintenance and investment.  </w:t>
      </w:r>
      <w:r w:rsidR="00C00C3D">
        <w:t>By contrast, just over €180 million was received in passenger fares with a further €</w:t>
      </w:r>
      <w:r w:rsidR="005D5754">
        <w:t>38</w:t>
      </w:r>
      <w:r w:rsidR="00C00C3D">
        <w:t xml:space="preserve"> million in revenue from commercial activities (e.g. advertising, freight, Rosslare port). Over €320 million was provided to the Company from State sources.</w:t>
      </w:r>
      <w:r w:rsidR="00C00C3D">
        <w:rPr>
          <w:rStyle w:val="FootnoteReference"/>
        </w:rPr>
        <w:footnoteReference w:id="1"/>
      </w:r>
      <w:r w:rsidR="00C00C3D">
        <w:t xml:space="preserve"> </w:t>
      </w:r>
    </w:p>
    <w:p w:rsidR="003737B0" w:rsidRDefault="005D5754" w:rsidP="003737B0">
      <w:pPr>
        <w:ind w:firstLine="720"/>
        <w:jc w:val="both"/>
      </w:pPr>
      <w:r>
        <w:rPr>
          <w:noProof/>
          <w:lang w:eastAsia="en-IE"/>
        </w:rPr>
        <w:drawing>
          <wp:inline distT="0" distB="0" distL="0" distR="0" wp14:anchorId="20D57A68" wp14:editId="38C59CE8">
            <wp:extent cx="4488329" cy="2635063"/>
            <wp:effectExtent l="0" t="0" r="26670" b="1333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3737B0" w:rsidRDefault="003737B0" w:rsidP="00D00737">
      <w:pPr>
        <w:jc w:val="both"/>
      </w:pPr>
    </w:p>
    <w:p w:rsidR="00D00737" w:rsidRPr="00B32D7E" w:rsidRDefault="00D00737" w:rsidP="00D00737">
      <w:pPr>
        <w:jc w:val="both"/>
      </w:pPr>
      <w:r w:rsidRPr="00B32D7E">
        <w:t>Government funding for rail is allocated for four purposes:</w:t>
      </w:r>
    </w:p>
    <w:p w:rsidR="00D00737" w:rsidRPr="00B32D7E" w:rsidRDefault="00D00737" w:rsidP="00D00737">
      <w:pPr>
        <w:pStyle w:val="ListParagraph"/>
        <w:numPr>
          <w:ilvl w:val="0"/>
          <w:numId w:val="41"/>
        </w:numPr>
        <w:jc w:val="both"/>
      </w:pPr>
      <w:proofErr w:type="gramStart"/>
      <w:r w:rsidRPr="00B32D7E">
        <w:t>to</w:t>
      </w:r>
      <w:proofErr w:type="gramEnd"/>
      <w:r w:rsidRPr="00B32D7E">
        <w:t xml:space="preserve"> maintain the existing infrastructure in its present state so that safe services can be operated at satisfactory journey speeds and that stations and other supporting infrastructure can be kept at an appropriate standard for customers</w:t>
      </w:r>
      <w:r w:rsidR="00C7313B">
        <w:t>.</w:t>
      </w:r>
      <w:r w:rsidR="006D754B">
        <w:t xml:space="preserve"> </w:t>
      </w:r>
      <w:r w:rsidR="00C00C3D">
        <w:t>T</w:t>
      </w:r>
      <w:r w:rsidR="006D754B">
        <w:t xml:space="preserve">his </w:t>
      </w:r>
      <w:r w:rsidR="00773B13">
        <w:t xml:space="preserve">funding stream </w:t>
      </w:r>
      <w:r w:rsidR="006D754B">
        <w:t xml:space="preserve">is </w:t>
      </w:r>
      <w:r w:rsidR="00DF0F09">
        <w:t>provided under a</w:t>
      </w:r>
      <w:r w:rsidR="006D754B">
        <w:t xml:space="preserve"> Multi-Annual Contract (MAC)</w:t>
      </w:r>
      <w:r w:rsidR="00C00C3D">
        <w:t xml:space="preserve"> between the Department of Transport, Tourism and Sport and Iarnród Éireann</w:t>
      </w:r>
      <w:r w:rsidRPr="00B32D7E">
        <w:t>;</w:t>
      </w:r>
    </w:p>
    <w:p w:rsidR="00D00737" w:rsidRDefault="00D00737" w:rsidP="00D00737">
      <w:pPr>
        <w:pStyle w:val="ListParagraph"/>
        <w:numPr>
          <w:ilvl w:val="0"/>
          <w:numId w:val="41"/>
        </w:numPr>
        <w:jc w:val="both"/>
      </w:pPr>
      <w:proofErr w:type="gramStart"/>
      <w:r w:rsidRPr="00B32D7E">
        <w:t>to</w:t>
      </w:r>
      <w:proofErr w:type="gramEnd"/>
      <w:r w:rsidRPr="00B32D7E">
        <w:t xml:space="preserve"> support services that are not commercially viable but are socially necessary and are in the overall public interest</w:t>
      </w:r>
      <w:r w:rsidR="00C00C3D">
        <w:t>. T</w:t>
      </w:r>
      <w:r w:rsidRPr="00B32D7E">
        <w:t>his support is called the Public Service Obligation (PSO) payment</w:t>
      </w:r>
      <w:r w:rsidR="00C00C3D">
        <w:t xml:space="preserve"> and is provided to the company by the National </w:t>
      </w:r>
      <w:r w:rsidR="00C7313B">
        <w:t>T</w:t>
      </w:r>
      <w:r w:rsidR="00C00C3D">
        <w:t xml:space="preserve">ransport </w:t>
      </w:r>
      <w:r w:rsidR="00C7313B">
        <w:t>A</w:t>
      </w:r>
      <w:r w:rsidR="00C00C3D">
        <w:t>uthority under a contract. The PSO amount in 2015 was  €</w:t>
      </w:r>
      <w:r w:rsidR="00C7313B">
        <w:t>98</w:t>
      </w:r>
      <w:r w:rsidR="00C00C3D">
        <w:t xml:space="preserve"> million</w:t>
      </w:r>
      <w:r w:rsidRPr="00B32D7E">
        <w:t>;</w:t>
      </w:r>
    </w:p>
    <w:p w:rsidR="00C00C3D" w:rsidRPr="00B32D7E" w:rsidRDefault="00C00C3D" w:rsidP="00C00C3D">
      <w:pPr>
        <w:pStyle w:val="ListParagraph"/>
        <w:numPr>
          <w:ilvl w:val="0"/>
          <w:numId w:val="41"/>
        </w:numPr>
        <w:jc w:val="both"/>
      </w:pPr>
      <w:proofErr w:type="gramStart"/>
      <w:r w:rsidRPr="00B32D7E">
        <w:t>to</w:t>
      </w:r>
      <w:proofErr w:type="gramEnd"/>
      <w:r w:rsidRPr="00B32D7E">
        <w:t xml:space="preserve"> enhance, and perhaps expand, the infrastructure to meet the needs of a growing society, both in economic and demographic terms</w:t>
      </w:r>
      <w:r>
        <w:t>. This is called Capital Enhancement and is provided by both by the Department and by the NTA, depending on the project involved. This aspect of the funding tends to vary from year-to-year given the nature of capital projects which are non-recurring</w:t>
      </w:r>
      <w:r w:rsidR="00DA23BF">
        <w:t>; and</w:t>
      </w:r>
      <w:r w:rsidRPr="00B32D7E">
        <w:t xml:space="preserve">    </w:t>
      </w:r>
    </w:p>
    <w:p w:rsidR="00D00737" w:rsidRPr="00B32D7E" w:rsidRDefault="00B92D84" w:rsidP="006C76BC">
      <w:pPr>
        <w:pStyle w:val="ListParagraph"/>
        <w:numPr>
          <w:ilvl w:val="0"/>
          <w:numId w:val="41"/>
        </w:numPr>
        <w:jc w:val="both"/>
      </w:pPr>
      <w:proofErr w:type="gramStart"/>
      <w:r w:rsidRPr="00B32D7E">
        <w:t>to</w:t>
      </w:r>
      <w:proofErr w:type="gramEnd"/>
      <w:r w:rsidRPr="00B32D7E">
        <w:t xml:space="preserve"> support the Company carrying passengers who can avail of the Free Travel Scheme of the Department of Social Protection</w:t>
      </w:r>
      <w:r>
        <w:t xml:space="preserve">. Iarnród Éireann currently receives almost €15 million in respect of the Free Travel Scheme. Funding of the Free Travel Scheme from the Department </w:t>
      </w:r>
      <w:r>
        <w:lastRenderedPageBreak/>
        <w:t>of Social Protection has not kept pace in recent years with fare increases and increased passengers. Free Travel Scheme journeys now represent 11.6% of all rail passenger journeys while the funding provided in respect of the Scheme represents only 7.5% of total passenger revenue.</w:t>
      </w:r>
    </w:p>
    <w:p w:rsidR="00D00737" w:rsidRDefault="00DA23BF" w:rsidP="00D00737">
      <w:pPr>
        <w:jc w:val="both"/>
      </w:pPr>
      <w:r>
        <w:t xml:space="preserve">The Rail review (which was completed in August 2016, in advance of Budget 2017) set out estimated future levels of Government support for Iarnród Éireann in the period 2016 to 2021, based on 2016 allocations and indications at that stage of what might be available. These estimates are shown in </w:t>
      </w:r>
      <w:r w:rsidR="00D00737" w:rsidRPr="00B32D7E">
        <w:t>Table</w:t>
      </w:r>
      <w:r w:rsidR="00780E94" w:rsidRPr="00B32D7E">
        <w:t xml:space="preserve"> </w:t>
      </w:r>
      <w:r w:rsidR="00C42B6F">
        <w:t>2</w:t>
      </w:r>
      <w:r w:rsidR="00D00737" w:rsidRPr="00B32D7E">
        <w:t xml:space="preserve"> below.</w:t>
      </w:r>
    </w:p>
    <w:p w:rsidR="00DA23BF" w:rsidRPr="00B32D7E" w:rsidRDefault="00DA23BF" w:rsidP="00DA23BF">
      <w:pPr>
        <w:jc w:val="both"/>
        <w:rPr>
          <w:b/>
        </w:rPr>
      </w:pPr>
      <w:r>
        <w:rPr>
          <w:b/>
        </w:rPr>
        <w:t>Table 2</w:t>
      </w:r>
      <w:r w:rsidRPr="00B32D7E">
        <w:rPr>
          <w:b/>
        </w:rPr>
        <w:t>: Total State Funding</w:t>
      </w:r>
      <w:r>
        <w:rPr>
          <w:b/>
        </w:rPr>
        <w:t xml:space="preserve"> Estimates 2016-2021 (based on Rail Review – before Budget 2017)</w:t>
      </w:r>
    </w:p>
    <w:tbl>
      <w:tblPr>
        <w:tblW w:w="5235" w:type="pct"/>
        <w:jc w:val="center"/>
        <w:tblInd w:w="562" w:type="dxa"/>
        <w:tblCellMar>
          <w:left w:w="0" w:type="dxa"/>
          <w:right w:w="0" w:type="dxa"/>
        </w:tblCellMar>
        <w:tblLook w:val="04A0" w:firstRow="1" w:lastRow="0" w:firstColumn="1" w:lastColumn="0" w:noHBand="0" w:noVBand="1"/>
      </w:tblPr>
      <w:tblGrid>
        <w:gridCol w:w="2165"/>
        <w:gridCol w:w="1681"/>
        <w:gridCol w:w="954"/>
        <w:gridCol w:w="955"/>
        <w:gridCol w:w="955"/>
        <w:gridCol w:w="954"/>
        <w:gridCol w:w="955"/>
        <w:gridCol w:w="955"/>
      </w:tblGrid>
      <w:tr w:rsidR="00DA23BF" w:rsidRPr="00B32D7E" w:rsidTr="003F096F">
        <w:trPr>
          <w:trHeight w:val="315"/>
          <w:jc w:val="center"/>
        </w:trPr>
        <w:tc>
          <w:tcPr>
            <w:tcW w:w="1130" w:type="pct"/>
            <w:tcBorders>
              <w:top w:val="single" w:sz="8" w:space="0" w:color="BFBFBF"/>
              <w:left w:val="single" w:sz="8" w:space="0" w:color="BFBFBF"/>
              <w:bottom w:val="single" w:sz="8" w:space="0" w:color="BFBFBF"/>
              <w:right w:val="single" w:sz="8" w:space="0" w:color="BFBFBF"/>
            </w:tcBorders>
            <w:shd w:val="clear" w:color="auto" w:fill="B8CCE4" w:themeFill="accent1" w:themeFillTint="66"/>
            <w:tcMar>
              <w:top w:w="0" w:type="dxa"/>
              <w:left w:w="108" w:type="dxa"/>
              <w:bottom w:w="0" w:type="dxa"/>
              <w:right w:w="108" w:type="dxa"/>
            </w:tcMar>
            <w:vAlign w:val="center"/>
          </w:tcPr>
          <w:p w:rsidR="00DA23BF" w:rsidRPr="00B32D7E" w:rsidRDefault="00DA23BF" w:rsidP="00DA23BF">
            <w:pPr>
              <w:spacing w:after="0" w:line="240" w:lineRule="auto"/>
              <w:ind w:left="180"/>
              <w:contextualSpacing/>
              <w:jc w:val="center"/>
              <w:rPr>
                <w:rFonts w:ascii="Calibri" w:eastAsia="Times New Roman" w:hAnsi="Calibri" w:cs="Times New Roman"/>
                <w:b/>
                <w:bCs/>
                <w:sz w:val="20"/>
                <w:szCs w:val="20"/>
              </w:rPr>
            </w:pPr>
            <w:r>
              <w:rPr>
                <w:rFonts w:ascii="Calibri" w:eastAsia="Times New Roman" w:hAnsi="Calibri" w:cs="Times New Roman"/>
                <w:b/>
                <w:bCs/>
                <w:sz w:val="20"/>
                <w:szCs w:val="20"/>
              </w:rPr>
              <w:t>Type of Funding</w:t>
            </w:r>
          </w:p>
        </w:tc>
        <w:tc>
          <w:tcPr>
            <w:tcW w:w="878" w:type="pct"/>
            <w:tcBorders>
              <w:top w:val="single" w:sz="8" w:space="0" w:color="BFBFBF"/>
              <w:left w:val="single" w:sz="8" w:space="0" w:color="BFBFBF"/>
              <w:bottom w:val="single" w:sz="8" w:space="0" w:color="BFBFBF"/>
              <w:right w:val="single" w:sz="8" w:space="0" w:color="BFBFBF"/>
            </w:tcBorders>
            <w:shd w:val="clear" w:color="auto" w:fill="B8CCE4" w:themeFill="accent1" w:themeFillTint="66"/>
            <w:vAlign w:val="center"/>
          </w:tcPr>
          <w:p w:rsidR="00DA23BF" w:rsidRPr="00B32D7E" w:rsidRDefault="00DA23BF" w:rsidP="00DA23BF">
            <w:pPr>
              <w:spacing w:after="0" w:line="240" w:lineRule="auto"/>
              <w:ind w:left="180"/>
              <w:contextualSpacing/>
              <w:jc w:val="center"/>
              <w:rPr>
                <w:rFonts w:ascii="Calibri" w:eastAsia="Times New Roman" w:hAnsi="Calibri" w:cs="Times New Roman"/>
                <w:b/>
                <w:bCs/>
                <w:sz w:val="20"/>
                <w:szCs w:val="20"/>
              </w:rPr>
            </w:pPr>
            <w:r>
              <w:rPr>
                <w:rFonts w:ascii="Calibri" w:eastAsia="Times New Roman" w:hAnsi="Calibri" w:cs="Times New Roman"/>
                <w:b/>
                <w:bCs/>
                <w:sz w:val="20"/>
                <w:szCs w:val="20"/>
              </w:rPr>
              <w:t>Provider</w:t>
            </w:r>
          </w:p>
        </w:tc>
        <w:tc>
          <w:tcPr>
            <w:tcW w:w="498" w:type="pct"/>
            <w:tcBorders>
              <w:top w:val="single" w:sz="8" w:space="0" w:color="BFBFBF"/>
              <w:left w:val="nil"/>
              <w:bottom w:val="single" w:sz="8" w:space="0" w:color="BFBFBF"/>
              <w:right w:val="single" w:sz="8" w:space="0" w:color="BFBFBF"/>
            </w:tcBorders>
            <w:shd w:val="clear" w:color="auto" w:fill="B8CCE4" w:themeFill="accent1" w:themeFillTint="66"/>
            <w:tcMar>
              <w:top w:w="0" w:type="dxa"/>
              <w:left w:w="108" w:type="dxa"/>
              <w:bottom w:w="0" w:type="dxa"/>
              <w:right w:w="108" w:type="dxa"/>
            </w:tcMar>
            <w:vAlign w:val="center"/>
            <w:hideMark/>
          </w:tcPr>
          <w:p w:rsidR="00DA23BF" w:rsidRPr="00B32D7E" w:rsidRDefault="00DA23BF" w:rsidP="00DA23BF">
            <w:pPr>
              <w:spacing w:after="0" w:line="240" w:lineRule="auto"/>
              <w:ind w:left="180"/>
              <w:contextualSpacing/>
              <w:jc w:val="center"/>
              <w:rPr>
                <w:rFonts w:ascii="Calibri" w:eastAsia="Times New Roman" w:hAnsi="Calibri" w:cs="Times New Roman"/>
                <w:b/>
                <w:bCs/>
                <w:sz w:val="20"/>
                <w:szCs w:val="20"/>
              </w:rPr>
            </w:pPr>
            <w:r w:rsidRPr="00B32D7E">
              <w:rPr>
                <w:rFonts w:ascii="Calibri" w:eastAsia="Times New Roman" w:hAnsi="Calibri" w:cs="Times New Roman"/>
                <w:b/>
                <w:bCs/>
                <w:sz w:val="20"/>
                <w:szCs w:val="20"/>
              </w:rPr>
              <w:t>2016</w:t>
            </w:r>
          </w:p>
        </w:tc>
        <w:tc>
          <w:tcPr>
            <w:tcW w:w="499" w:type="pct"/>
            <w:tcBorders>
              <w:top w:val="single" w:sz="8" w:space="0" w:color="BFBFBF"/>
              <w:left w:val="nil"/>
              <w:bottom w:val="single" w:sz="8" w:space="0" w:color="BFBFBF"/>
              <w:right w:val="single" w:sz="8" w:space="0" w:color="BFBFBF"/>
            </w:tcBorders>
            <w:shd w:val="clear" w:color="auto" w:fill="B8CCE4" w:themeFill="accent1" w:themeFillTint="66"/>
            <w:tcMar>
              <w:top w:w="0" w:type="dxa"/>
              <w:left w:w="108" w:type="dxa"/>
              <w:bottom w:w="0" w:type="dxa"/>
              <w:right w:w="108" w:type="dxa"/>
            </w:tcMar>
            <w:vAlign w:val="center"/>
            <w:hideMark/>
          </w:tcPr>
          <w:p w:rsidR="00DA23BF" w:rsidRPr="00B32D7E" w:rsidRDefault="00DA23BF" w:rsidP="00DA23BF">
            <w:pPr>
              <w:spacing w:after="0" w:line="240" w:lineRule="auto"/>
              <w:ind w:left="180"/>
              <w:contextualSpacing/>
              <w:jc w:val="center"/>
              <w:rPr>
                <w:rFonts w:ascii="Calibri" w:eastAsia="Times New Roman" w:hAnsi="Calibri" w:cs="Times New Roman"/>
                <w:b/>
                <w:bCs/>
                <w:sz w:val="20"/>
                <w:szCs w:val="20"/>
              </w:rPr>
            </w:pPr>
            <w:r w:rsidRPr="00B32D7E">
              <w:rPr>
                <w:rFonts w:ascii="Calibri" w:eastAsia="Times New Roman" w:hAnsi="Calibri" w:cs="Times New Roman"/>
                <w:b/>
                <w:bCs/>
                <w:sz w:val="20"/>
                <w:szCs w:val="20"/>
              </w:rPr>
              <w:t>2017</w:t>
            </w:r>
            <w:r>
              <w:rPr>
                <w:rFonts w:ascii="Calibri" w:eastAsia="Times New Roman" w:hAnsi="Calibri" w:cs="Times New Roman"/>
                <w:b/>
                <w:bCs/>
                <w:sz w:val="20"/>
                <w:szCs w:val="20"/>
              </w:rPr>
              <w:t>*</w:t>
            </w:r>
          </w:p>
        </w:tc>
        <w:tc>
          <w:tcPr>
            <w:tcW w:w="499" w:type="pct"/>
            <w:tcBorders>
              <w:top w:val="single" w:sz="8" w:space="0" w:color="BFBFBF"/>
              <w:left w:val="nil"/>
              <w:bottom w:val="single" w:sz="8" w:space="0" w:color="BFBFBF"/>
              <w:right w:val="single" w:sz="8" w:space="0" w:color="BFBFBF"/>
            </w:tcBorders>
            <w:shd w:val="clear" w:color="auto" w:fill="B8CCE4" w:themeFill="accent1" w:themeFillTint="66"/>
            <w:tcMar>
              <w:top w:w="0" w:type="dxa"/>
              <w:left w:w="108" w:type="dxa"/>
              <w:bottom w:w="0" w:type="dxa"/>
              <w:right w:w="108" w:type="dxa"/>
            </w:tcMar>
            <w:vAlign w:val="center"/>
            <w:hideMark/>
          </w:tcPr>
          <w:p w:rsidR="00DA23BF" w:rsidRPr="00B32D7E" w:rsidRDefault="00DA23BF" w:rsidP="00DA23BF">
            <w:pPr>
              <w:spacing w:after="0" w:line="240" w:lineRule="auto"/>
              <w:ind w:left="180"/>
              <w:contextualSpacing/>
              <w:jc w:val="center"/>
              <w:rPr>
                <w:rFonts w:ascii="Calibri" w:eastAsia="Times New Roman" w:hAnsi="Calibri" w:cs="Times New Roman"/>
                <w:b/>
                <w:bCs/>
                <w:sz w:val="20"/>
                <w:szCs w:val="20"/>
              </w:rPr>
            </w:pPr>
            <w:r w:rsidRPr="00B32D7E">
              <w:rPr>
                <w:rFonts w:ascii="Calibri" w:eastAsia="Times New Roman" w:hAnsi="Calibri" w:cs="Times New Roman"/>
                <w:b/>
                <w:bCs/>
                <w:sz w:val="20"/>
                <w:szCs w:val="20"/>
              </w:rPr>
              <w:t>2018</w:t>
            </w:r>
          </w:p>
        </w:tc>
        <w:tc>
          <w:tcPr>
            <w:tcW w:w="498" w:type="pct"/>
            <w:tcBorders>
              <w:top w:val="single" w:sz="8" w:space="0" w:color="BFBFBF"/>
              <w:left w:val="nil"/>
              <w:bottom w:val="single" w:sz="8" w:space="0" w:color="BFBFBF"/>
              <w:right w:val="single" w:sz="8" w:space="0" w:color="BFBFBF"/>
            </w:tcBorders>
            <w:shd w:val="clear" w:color="auto" w:fill="B8CCE4" w:themeFill="accent1" w:themeFillTint="66"/>
            <w:tcMar>
              <w:top w:w="0" w:type="dxa"/>
              <w:left w:w="108" w:type="dxa"/>
              <w:bottom w:w="0" w:type="dxa"/>
              <w:right w:w="108" w:type="dxa"/>
            </w:tcMar>
            <w:vAlign w:val="center"/>
            <w:hideMark/>
          </w:tcPr>
          <w:p w:rsidR="00DA23BF" w:rsidRPr="00B32D7E" w:rsidRDefault="00DA23BF" w:rsidP="00DA23BF">
            <w:pPr>
              <w:spacing w:after="0" w:line="240" w:lineRule="auto"/>
              <w:ind w:left="180"/>
              <w:contextualSpacing/>
              <w:jc w:val="center"/>
              <w:rPr>
                <w:rFonts w:ascii="Calibri" w:eastAsia="Times New Roman" w:hAnsi="Calibri" w:cs="Times New Roman"/>
                <w:b/>
                <w:bCs/>
                <w:sz w:val="20"/>
                <w:szCs w:val="20"/>
              </w:rPr>
            </w:pPr>
            <w:r w:rsidRPr="00B32D7E">
              <w:rPr>
                <w:rFonts w:ascii="Calibri" w:eastAsia="Times New Roman" w:hAnsi="Calibri" w:cs="Times New Roman"/>
                <w:b/>
                <w:bCs/>
                <w:sz w:val="20"/>
                <w:szCs w:val="20"/>
              </w:rPr>
              <w:t>2019</w:t>
            </w:r>
          </w:p>
        </w:tc>
        <w:tc>
          <w:tcPr>
            <w:tcW w:w="499" w:type="pct"/>
            <w:tcBorders>
              <w:top w:val="single" w:sz="8" w:space="0" w:color="BFBFBF"/>
              <w:left w:val="nil"/>
              <w:bottom w:val="single" w:sz="8" w:space="0" w:color="BFBFBF"/>
              <w:right w:val="single" w:sz="8" w:space="0" w:color="BFBFBF"/>
            </w:tcBorders>
            <w:shd w:val="clear" w:color="auto" w:fill="B8CCE4" w:themeFill="accent1" w:themeFillTint="66"/>
            <w:tcMar>
              <w:top w:w="0" w:type="dxa"/>
              <w:left w:w="108" w:type="dxa"/>
              <w:bottom w:w="0" w:type="dxa"/>
              <w:right w:w="108" w:type="dxa"/>
            </w:tcMar>
            <w:vAlign w:val="center"/>
            <w:hideMark/>
          </w:tcPr>
          <w:p w:rsidR="00DA23BF" w:rsidRPr="00B32D7E" w:rsidRDefault="00DA23BF" w:rsidP="00DA23BF">
            <w:pPr>
              <w:spacing w:after="0" w:line="240" w:lineRule="auto"/>
              <w:ind w:left="180"/>
              <w:contextualSpacing/>
              <w:jc w:val="center"/>
              <w:rPr>
                <w:rFonts w:ascii="Calibri" w:eastAsia="Times New Roman" w:hAnsi="Calibri" w:cs="Times New Roman"/>
                <w:b/>
                <w:bCs/>
                <w:sz w:val="20"/>
                <w:szCs w:val="20"/>
              </w:rPr>
            </w:pPr>
            <w:r w:rsidRPr="00B32D7E">
              <w:rPr>
                <w:rFonts w:ascii="Calibri" w:eastAsia="Times New Roman" w:hAnsi="Calibri" w:cs="Times New Roman"/>
                <w:b/>
                <w:bCs/>
                <w:sz w:val="20"/>
                <w:szCs w:val="20"/>
              </w:rPr>
              <w:t>2020</w:t>
            </w:r>
          </w:p>
        </w:tc>
        <w:tc>
          <w:tcPr>
            <w:tcW w:w="499" w:type="pct"/>
            <w:tcBorders>
              <w:top w:val="single" w:sz="8" w:space="0" w:color="BFBFBF"/>
              <w:left w:val="nil"/>
              <w:bottom w:val="single" w:sz="8" w:space="0" w:color="BFBFBF"/>
              <w:right w:val="single" w:sz="8" w:space="0" w:color="BFBFBF"/>
            </w:tcBorders>
            <w:shd w:val="clear" w:color="auto" w:fill="B8CCE4" w:themeFill="accent1" w:themeFillTint="66"/>
            <w:vAlign w:val="center"/>
            <w:hideMark/>
          </w:tcPr>
          <w:p w:rsidR="00DA23BF" w:rsidRPr="00B32D7E" w:rsidRDefault="00DA23BF" w:rsidP="00DA23BF">
            <w:pPr>
              <w:spacing w:after="0" w:line="240" w:lineRule="auto"/>
              <w:ind w:left="180"/>
              <w:contextualSpacing/>
              <w:jc w:val="center"/>
              <w:rPr>
                <w:rFonts w:ascii="Calibri" w:eastAsia="Times New Roman" w:hAnsi="Calibri" w:cs="Times New Roman"/>
                <w:b/>
                <w:bCs/>
                <w:sz w:val="20"/>
                <w:szCs w:val="20"/>
              </w:rPr>
            </w:pPr>
            <w:r w:rsidRPr="00B32D7E">
              <w:rPr>
                <w:rFonts w:ascii="Calibri" w:eastAsia="Times New Roman" w:hAnsi="Calibri" w:cs="Times New Roman"/>
                <w:b/>
                <w:bCs/>
                <w:sz w:val="20"/>
                <w:szCs w:val="20"/>
              </w:rPr>
              <w:t>2021</w:t>
            </w:r>
          </w:p>
        </w:tc>
      </w:tr>
      <w:tr w:rsidR="00DA23BF" w:rsidRPr="00B32D7E" w:rsidTr="00DA23BF">
        <w:trPr>
          <w:trHeight w:val="315"/>
          <w:jc w:val="center"/>
        </w:trPr>
        <w:tc>
          <w:tcPr>
            <w:tcW w:w="1130" w:type="pct"/>
            <w:tcBorders>
              <w:top w:val="nil"/>
              <w:left w:val="single" w:sz="8" w:space="0" w:color="BFBFBF"/>
              <w:bottom w:val="single" w:sz="8" w:space="0" w:color="BFBFBF"/>
              <w:right w:val="single" w:sz="8" w:space="0" w:color="BFBFBF"/>
            </w:tcBorders>
            <w:tcMar>
              <w:top w:w="0" w:type="dxa"/>
              <w:left w:w="108" w:type="dxa"/>
              <w:bottom w:w="0" w:type="dxa"/>
              <w:right w:w="108" w:type="dxa"/>
            </w:tcMar>
            <w:vAlign w:val="center"/>
            <w:hideMark/>
          </w:tcPr>
          <w:p w:rsidR="00DA23BF" w:rsidRPr="001D5B2C" w:rsidRDefault="00DA23BF" w:rsidP="00DA23BF">
            <w:pPr>
              <w:spacing w:after="0" w:line="240" w:lineRule="auto"/>
              <w:ind w:left="180"/>
              <w:contextualSpacing/>
              <w:jc w:val="center"/>
              <w:rPr>
                <w:rFonts w:ascii="Calibri" w:eastAsia="Times New Roman" w:hAnsi="Calibri" w:cs="Times New Roman"/>
                <w:b/>
                <w:bCs/>
                <w:sz w:val="20"/>
                <w:szCs w:val="20"/>
              </w:rPr>
            </w:pPr>
            <w:r>
              <w:rPr>
                <w:rFonts w:ascii="Calibri" w:eastAsia="Times New Roman" w:hAnsi="Calibri" w:cs="Times New Roman"/>
                <w:b/>
                <w:bCs/>
                <w:sz w:val="20"/>
                <w:szCs w:val="20"/>
              </w:rPr>
              <w:t>Multi-Annual Contract</w:t>
            </w:r>
          </w:p>
        </w:tc>
        <w:tc>
          <w:tcPr>
            <w:tcW w:w="878" w:type="pct"/>
            <w:tcBorders>
              <w:top w:val="nil"/>
              <w:left w:val="single" w:sz="8" w:space="0" w:color="BFBFBF"/>
              <w:bottom w:val="single" w:sz="8" w:space="0" w:color="BFBFBF"/>
              <w:right w:val="single" w:sz="8" w:space="0" w:color="BFBFBF"/>
            </w:tcBorders>
            <w:vAlign w:val="center"/>
          </w:tcPr>
          <w:p w:rsidR="00DA23BF" w:rsidRPr="001D5B2C" w:rsidRDefault="00DA23BF" w:rsidP="00DA23BF">
            <w:pPr>
              <w:spacing w:after="0" w:line="240" w:lineRule="auto"/>
              <w:ind w:left="180"/>
              <w:contextualSpacing/>
              <w:jc w:val="center"/>
              <w:rPr>
                <w:rFonts w:ascii="Calibri" w:eastAsia="Times New Roman" w:hAnsi="Calibri" w:cs="Times New Roman"/>
                <w:b/>
                <w:bCs/>
                <w:sz w:val="20"/>
                <w:szCs w:val="20"/>
              </w:rPr>
            </w:pPr>
            <w:r w:rsidRPr="001D5B2C">
              <w:rPr>
                <w:rFonts w:ascii="Calibri" w:eastAsia="Times New Roman" w:hAnsi="Calibri" w:cs="Times New Roman"/>
                <w:b/>
                <w:bCs/>
                <w:sz w:val="20"/>
                <w:szCs w:val="20"/>
              </w:rPr>
              <w:t>D</w:t>
            </w:r>
            <w:r>
              <w:rPr>
                <w:rFonts w:ascii="Calibri" w:eastAsia="Times New Roman" w:hAnsi="Calibri" w:cs="Times New Roman"/>
                <w:b/>
                <w:bCs/>
                <w:sz w:val="20"/>
                <w:szCs w:val="20"/>
              </w:rPr>
              <w:t>/</w:t>
            </w:r>
            <w:r w:rsidRPr="001D5B2C">
              <w:rPr>
                <w:rFonts w:ascii="Calibri" w:eastAsia="Times New Roman" w:hAnsi="Calibri" w:cs="Times New Roman"/>
                <w:b/>
                <w:bCs/>
                <w:sz w:val="20"/>
                <w:szCs w:val="20"/>
              </w:rPr>
              <w:t>TTS</w:t>
            </w:r>
          </w:p>
        </w:tc>
        <w:tc>
          <w:tcPr>
            <w:tcW w:w="498" w:type="pct"/>
            <w:tcBorders>
              <w:top w:val="nil"/>
              <w:left w:val="nil"/>
              <w:bottom w:val="single" w:sz="8" w:space="0" w:color="BFBFBF"/>
              <w:right w:val="single" w:sz="8" w:space="0" w:color="BFBFBF"/>
            </w:tcBorders>
            <w:tcMar>
              <w:top w:w="0" w:type="dxa"/>
              <w:left w:w="108" w:type="dxa"/>
              <w:bottom w:w="0" w:type="dxa"/>
              <w:right w:w="108" w:type="dxa"/>
            </w:tcMar>
            <w:vAlign w:val="center"/>
            <w:hideMark/>
          </w:tcPr>
          <w:p w:rsidR="00DA23BF" w:rsidRPr="001D5B2C" w:rsidRDefault="00DA23BF" w:rsidP="00DA23BF">
            <w:pPr>
              <w:spacing w:after="0" w:line="240" w:lineRule="auto"/>
              <w:ind w:left="180"/>
              <w:contextualSpacing/>
              <w:jc w:val="center"/>
              <w:rPr>
                <w:rFonts w:ascii="Calibri" w:eastAsia="Times New Roman" w:hAnsi="Calibri" w:cs="Times New Roman"/>
                <w:b/>
                <w:bCs/>
                <w:sz w:val="20"/>
                <w:szCs w:val="20"/>
              </w:rPr>
            </w:pPr>
            <w:r w:rsidRPr="001D5B2C">
              <w:rPr>
                <w:rFonts w:ascii="Calibri" w:eastAsia="Times New Roman" w:hAnsi="Calibri" w:cs="Times New Roman"/>
                <w:b/>
                <w:bCs/>
                <w:sz w:val="20"/>
                <w:szCs w:val="20"/>
              </w:rPr>
              <w:t>126</w:t>
            </w:r>
          </w:p>
        </w:tc>
        <w:tc>
          <w:tcPr>
            <w:tcW w:w="499" w:type="pct"/>
            <w:tcBorders>
              <w:top w:val="nil"/>
              <w:left w:val="nil"/>
              <w:bottom w:val="single" w:sz="8" w:space="0" w:color="BFBFBF"/>
              <w:right w:val="single" w:sz="8" w:space="0" w:color="BFBFBF"/>
            </w:tcBorders>
            <w:tcMar>
              <w:top w:w="0" w:type="dxa"/>
              <w:left w:w="108" w:type="dxa"/>
              <w:bottom w:w="0" w:type="dxa"/>
              <w:right w:w="108" w:type="dxa"/>
            </w:tcMar>
            <w:vAlign w:val="center"/>
            <w:hideMark/>
          </w:tcPr>
          <w:p w:rsidR="00DA23BF" w:rsidRPr="001D5B2C" w:rsidRDefault="00DA23BF" w:rsidP="00DA23BF">
            <w:pPr>
              <w:spacing w:after="0" w:line="240" w:lineRule="auto"/>
              <w:ind w:left="180"/>
              <w:contextualSpacing/>
              <w:jc w:val="center"/>
              <w:rPr>
                <w:rFonts w:ascii="Calibri" w:eastAsia="Times New Roman" w:hAnsi="Calibri" w:cs="Times New Roman"/>
                <w:b/>
                <w:bCs/>
                <w:sz w:val="20"/>
                <w:szCs w:val="20"/>
              </w:rPr>
            </w:pPr>
            <w:r w:rsidRPr="001D5B2C">
              <w:rPr>
                <w:rFonts w:ascii="Calibri" w:eastAsia="Times New Roman" w:hAnsi="Calibri" w:cs="Times New Roman"/>
                <w:b/>
                <w:bCs/>
                <w:sz w:val="20"/>
                <w:szCs w:val="20"/>
              </w:rPr>
              <w:t>130</w:t>
            </w:r>
          </w:p>
        </w:tc>
        <w:tc>
          <w:tcPr>
            <w:tcW w:w="499" w:type="pct"/>
            <w:tcBorders>
              <w:top w:val="nil"/>
              <w:left w:val="nil"/>
              <w:bottom w:val="single" w:sz="8" w:space="0" w:color="BFBFBF"/>
              <w:right w:val="single" w:sz="8" w:space="0" w:color="BFBFBF"/>
            </w:tcBorders>
            <w:tcMar>
              <w:top w:w="0" w:type="dxa"/>
              <w:left w:w="108" w:type="dxa"/>
              <w:bottom w:w="0" w:type="dxa"/>
              <w:right w:w="108" w:type="dxa"/>
            </w:tcMar>
            <w:vAlign w:val="center"/>
            <w:hideMark/>
          </w:tcPr>
          <w:p w:rsidR="00DA23BF" w:rsidRPr="001D5B2C" w:rsidRDefault="00DA23BF" w:rsidP="00DA23BF">
            <w:pPr>
              <w:spacing w:after="0" w:line="240" w:lineRule="auto"/>
              <w:ind w:left="180"/>
              <w:contextualSpacing/>
              <w:jc w:val="center"/>
              <w:rPr>
                <w:rFonts w:ascii="Calibri" w:eastAsia="Times New Roman" w:hAnsi="Calibri" w:cs="Times New Roman"/>
                <w:b/>
                <w:bCs/>
                <w:sz w:val="20"/>
                <w:szCs w:val="20"/>
              </w:rPr>
            </w:pPr>
            <w:r w:rsidRPr="001D5B2C">
              <w:rPr>
                <w:rFonts w:ascii="Calibri" w:eastAsia="Times New Roman" w:hAnsi="Calibri" w:cs="Times New Roman"/>
                <w:b/>
                <w:bCs/>
                <w:sz w:val="20"/>
                <w:szCs w:val="20"/>
              </w:rPr>
              <w:t>130</w:t>
            </w:r>
          </w:p>
        </w:tc>
        <w:tc>
          <w:tcPr>
            <w:tcW w:w="498" w:type="pct"/>
            <w:tcBorders>
              <w:top w:val="nil"/>
              <w:left w:val="nil"/>
              <w:bottom w:val="single" w:sz="8" w:space="0" w:color="BFBFBF"/>
              <w:right w:val="single" w:sz="8" w:space="0" w:color="BFBFBF"/>
            </w:tcBorders>
            <w:tcMar>
              <w:top w:w="0" w:type="dxa"/>
              <w:left w:w="108" w:type="dxa"/>
              <w:bottom w:w="0" w:type="dxa"/>
              <w:right w:w="108" w:type="dxa"/>
            </w:tcMar>
            <w:vAlign w:val="center"/>
            <w:hideMark/>
          </w:tcPr>
          <w:p w:rsidR="00DA23BF" w:rsidRPr="001D5B2C" w:rsidRDefault="00DA23BF" w:rsidP="00DA23BF">
            <w:pPr>
              <w:spacing w:after="0" w:line="240" w:lineRule="auto"/>
              <w:ind w:left="180"/>
              <w:contextualSpacing/>
              <w:jc w:val="center"/>
              <w:rPr>
                <w:rFonts w:ascii="Calibri" w:eastAsia="Times New Roman" w:hAnsi="Calibri" w:cs="Times New Roman"/>
                <w:b/>
                <w:bCs/>
                <w:sz w:val="20"/>
                <w:szCs w:val="20"/>
              </w:rPr>
            </w:pPr>
            <w:r w:rsidRPr="001D5B2C">
              <w:rPr>
                <w:rFonts w:ascii="Calibri" w:eastAsia="Times New Roman" w:hAnsi="Calibri" w:cs="Times New Roman"/>
                <w:b/>
                <w:bCs/>
                <w:sz w:val="20"/>
                <w:szCs w:val="20"/>
              </w:rPr>
              <w:t>130</w:t>
            </w:r>
          </w:p>
        </w:tc>
        <w:tc>
          <w:tcPr>
            <w:tcW w:w="499" w:type="pct"/>
            <w:tcBorders>
              <w:top w:val="nil"/>
              <w:left w:val="nil"/>
              <w:bottom w:val="single" w:sz="8" w:space="0" w:color="BFBFBF"/>
              <w:right w:val="single" w:sz="8" w:space="0" w:color="BFBFBF"/>
            </w:tcBorders>
            <w:tcMar>
              <w:top w:w="0" w:type="dxa"/>
              <w:left w:w="108" w:type="dxa"/>
              <w:bottom w:w="0" w:type="dxa"/>
              <w:right w:w="108" w:type="dxa"/>
            </w:tcMar>
            <w:vAlign w:val="center"/>
            <w:hideMark/>
          </w:tcPr>
          <w:p w:rsidR="00DA23BF" w:rsidRPr="001D5B2C" w:rsidRDefault="00DA23BF" w:rsidP="00DA23BF">
            <w:pPr>
              <w:spacing w:after="0" w:line="240" w:lineRule="auto"/>
              <w:ind w:left="180"/>
              <w:contextualSpacing/>
              <w:jc w:val="center"/>
              <w:rPr>
                <w:rFonts w:ascii="Calibri" w:eastAsia="Times New Roman" w:hAnsi="Calibri" w:cs="Times New Roman"/>
                <w:b/>
                <w:bCs/>
                <w:sz w:val="20"/>
                <w:szCs w:val="20"/>
              </w:rPr>
            </w:pPr>
            <w:r w:rsidRPr="001D5B2C">
              <w:rPr>
                <w:rFonts w:ascii="Calibri" w:eastAsia="Times New Roman" w:hAnsi="Calibri" w:cs="Times New Roman"/>
                <w:b/>
                <w:bCs/>
                <w:sz w:val="20"/>
                <w:szCs w:val="20"/>
              </w:rPr>
              <w:t>130</w:t>
            </w:r>
          </w:p>
        </w:tc>
        <w:tc>
          <w:tcPr>
            <w:tcW w:w="499" w:type="pct"/>
            <w:tcBorders>
              <w:top w:val="nil"/>
              <w:left w:val="nil"/>
              <w:bottom w:val="single" w:sz="8" w:space="0" w:color="BFBFBF"/>
              <w:right w:val="single" w:sz="8" w:space="0" w:color="BFBFBF"/>
            </w:tcBorders>
            <w:vAlign w:val="center"/>
            <w:hideMark/>
          </w:tcPr>
          <w:p w:rsidR="00DA23BF" w:rsidRPr="001D5B2C" w:rsidRDefault="00DA23BF" w:rsidP="00DA23BF">
            <w:pPr>
              <w:spacing w:after="0" w:line="240" w:lineRule="auto"/>
              <w:ind w:left="180"/>
              <w:contextualSpacing/>
              <w:jc w:val="center"/>
              <w:rPr>
                <w:rFonts w:ascii="Calibri" w:eastAsia="Times New Roman" w:hAnsi="Calibri" w:cs="Times New Roman"/>
                <w:b/>
                <w:bCs/>
                <w:sz w:val="20"/>
                <w:szCs w:val="20"/>
              </w:rPr>
            </w:pPr>
            <w:r w:rsidRPr="001D5B2C">
              <w:rPr>
                <w:rFonts w:ascii="Calibri" w:eastAsia="Times New Roman" w:hAnsi="Calibri" w:cs="Times New Roman"/>
                <w:b/>
                <w:bCs/>
                <w:sz w:val="20"/>
                <w:szCs w:val="20"/>
              </w:rPr>
              <w:t>130</w:t>
            </w:r>
          </w:p>
        </w:tc>
      </w:tr>
      <w:tr w:rsidR="00DA23BF" w:rsidRPr="00B32D7E" w:rsidTr="00DA23BF">
        <w:trPr>
          <w:trHeight w:val="315"/>
          <w:jc w:val="center"/>
        </w:trPr>
        <w:tc>
          <w:tcPr>
            <w:tcW w:w="1130" w:type="pct"/>
            <w:tcBorders>
              <w:top w:val="nil"/>
              <w:left w:val="single" w:sz="8" w:space="0" w:color="BFBFBF"/>
              <w:bottom w:val="single" w:sz="8" w:space="0" w:color="BFBFBF"/>
              <w:right w:val="single" w:sz="8" w:space="0" w:color="BFBFBF"/>
            </w:tcBorders>
            <w:tcMar>
              <w:top w:w="0" w:type="dxa"/>
              <w:left w:w="108" w:type="dxa"/>
              <w:bottom w:w="0" w:type="dxa"/>
              <w:right w:w="108" w:type="dxa"/>
            </w:tcMar>
            <w:vAlign w:val="center"/>
            <w:hideMark/>
          </w:tcPr>
          <w:p w:rsidR="00DA23BF" w:rsidRPr="001D5B2C" w:rsidRDefault="00DA23BF" w:rsidP="00DA23BF">
            <w:pPr>
              <w:spacing w:after="0" w:line="240" w:lineRule="auto"/>
              <w:ind w:left="180"/>
              <w:contextualSpacing/>
              <w:jc w:val="center"/>
              <w:rPr>
                <w:rFonts w:ascii="Calibri" w:eastAsia="Times New Roman" w:hAnsi="Calibri" w:cs="Times New Roman"/>
                <w:b/>
                <w:bCs/>
                <w:sz w:val="20"/>
                <w:szCs w:val="20"/>
              </w:rPr>
            </w:pPr>
            <w:r w:rsidRPr="001D5B2C">
              <w:rPr>
                <w:rFonts w:ascii="Calibri" w:eastAsia="Times New Roman" w:hAnsi="Calibri" w:cs="Times New Roman"/>
                <w:b/>
                <w:bCs/>
                <w:sz w:val="20"/>
                <w:szCs w:val="20"/>
              </w:rPr>
              <w:t> </w:t>
            </w:r>
          </w:p>
        </w:tc>
        <w:tc>
          <w:tcPr>
            <w:tcW w:w="878" w:type="pct"/>
            <w:tcBorders>
              <w:top w:val="nil"/>
              <w:left w:val="single" w:sz="8" w:space="0" w:color="BFBFBF"/>
              <w:bottom w:val="single" w:sz="8" w:space="0" w:color="BFBFBF"/>
              <w:right w:val="single" w:sz="8" w:space="0" w:color="BFBFBF"/>
            </w:tcBorders>
            <w:vAlign w:val="center"/>
          </w:tcPr>
          <w:p w:rsidR="00DA23BF" w:rsidRPr="001D5B2C" w:rsidRDefault="00DA23BF" w:rsidP="00DA23BF">
            <w:pPr>
              <w:spacing w:after="0" w:line="240" w:lineRule="auto"/>
              <w:ind w:left="180"/>
              <w:contextualSpacing/>
              <w:jc w:val="center"/>
              <w:rPr>
                <w:rFonts w:ascii="Calibri" w:eastAsia="Times New Roman" w:hAnsi="Calibri" w:cs="Times New Roman"/>
                <w:b/>
                <w:bCs/>
                <w:sz w:val="20"/>
                <w:szCs w:val="20"/>
              </w:rPr>
            </w:pPr>
          </w:p>
        </w:tc>
        <w:tc>
          <w:tcPr>
            <w:tcW w:w="498" w:type="pct"/>
            <w:tcBorders>
              <w:top w:val="nil"/>
              <w:left w:val="nil"/>
              <w:bottom w:val="single" w:sz="8" w:space="0" w:color="BFBFBF"/>
              <w:right w:val="single" w:sz="8" w:space="0" w:color="BFBFBF"/>
            </w:tcBorders>
            <w:tcMar>
              <w:top w:w="0" w:type="dxa"/>
              <w:left w:w="108" w:type="dxa"/>
              <w:bottom w:w="0" w:type="dxa"/>
              <w:right w:w="108" w:type="dxa"/>
            </w:tcMar>
            <w:vAlign w:val="center"/>
          </w:tcPr>
          <w:p w:rsidR="00DA23BF" w:rsidRPr="001D5B2C" w:rsidRDefault="00DA23BF" w:rsidP="00DA23BF">
            <w:pPr>
              <w:spacing w:after="0" w:line="240" w:lineRule="auto"/>
              <w:ind w:left="180"/>
              <w:contextualSpacing/>
              <w:jc w:val="center"/>
              <w:rPr>
                <w:rFonts w:ascii="Calibri" w:eastAsia="Times New Roman" w:hAnsi="Calibri" w:cs="Times New Roman"/>
                <w:b/>
                <w:bCs/>
                <w:sz w:val="20"/>
                <w:szCs w:val="20"/>
              </w:rPr>
            </w:pPr>
          </w:p>
        </w:tc>
        <w:tc>
          <w:tcPr>
            <w:tcW w:w="499" w:type="pct"/>
            <w:tcBorders>
              <w:top w:val="nil"/>
              <w:left w:val="nil"/>
              <w:bottom w:val="single" w:sz="8" w:space="0" w:color="BFBFBF"/>
              <w:right w:val="single" w:sz="8" w:space="0" w:color="BFBFBF"/>
            </w:tcBorders>
            <w:tcMar>
              <w:top w:w="0" w:type="dxa"/>
              <w:left w:w="108" w:type="dxa"/>
              <w:bottom w:w="0" w:type="dxa"/>
              <w:right w:w="108" w:type="dxa"/>
            </w:tcMar>
            <w:vAlign w:val="center"/>
          </w:tcPr>
          <w:p w:rsidR="00DA23BF" w:rsidRPr="001D5B2C" w:rsidRDefault="00DA23BF" w:rsidP="00DA23BF">
            <w:pPr>
              <w:spacing w:after="0" w:line="240" w:lineRule="auto"/>
              <w:ind w:left="180"/>
              <w:contextualSpacing/>
              <w:jc w:val="center"/>
              <w:rPr>
                <w:rFonts w:ascii="Calibri" w:eastAsia="Times New Roman" w:hAnsi="Calibri" w:cs="Times New Roman"/>
                <w:b/>
                <w:bCs/>
                <w:sz w:val="20"/>
                <w:szCs w:val="20"/>
              </w:rPr>
            </w:pPr>
          </w:p>
        </w:tc>
        <w:tc>
          <w:tcPr>
            <w:tcW w:w="499" w:type="pct"/>
            <w:tcBorders>
              <w:top w:val="nil"/>
              <w:left w:val="nil"/>
              <w:bottom w:val="single" w:sz="8" w:space="0" w:color="BFBFBF"/>
              <w:right w:val="single" w:sz="8" w:space="0" w:color="BFBFBF"/>
            </w:tcBorders>
            <w:tcMar>
              <w:top w:w="0" w:type="dxa"/>
              <w:left w:w="108" w:type="dxa"/>
              <w:bottom w:w="0" w:type="dxa"/>
              <w:right w:w="108" w:type="dxa"/>
            </w:tcMar>
            <w:vAlign w:val="center"/>
          </w:tcPr>
          <w:p w:rsidR="00DA23BF" w:rsidRPr="001D5B2C" w:rsidRDefault="00DA23BF" w:rsidP="00DA23BF">
            <w:pPr>
              <w:spacing w:after="0" w:line="240" w:lineRule="auto"/>
              <w:ind w:left="180"/>
              <w:contextualSpacing/>
              <w:jc w:val="center"/>
              <w:rPr>
                <w:rFonts w:ascii="Calibri" w:eastAsia="Times New Roman" w:hAnsi="Calibri" w:cs="Times New Roman"/>
                <w:b/>
                <w:bCs/>
                <w:sz w:val="20"/>
                <w:szCs w:val="20"/>
              </w:rPr>
            </w:pPr>
          </w:p>
        </w:tc>
        <w:tc>
          <w:tcPr>
            <w:tcW w:w="498" w:type="pct"/>
            <w:tcBorders>
              <w:top w:val="nil"/>
              <w:left w:val="nil"/>
              <w:bottom w:val="single" w:sz="8" w:space="0" w:color="BFBFBF"/>
              <w:right w:val="single" w:sz="8" w:space="0" w:color="BFBFBF"/>
            </w:tcBorders>
            <w:tcMar>
              <w:top w:w="0" w:type="dxa"/>
              <w:left w:w="108" w:type="dxa"/>
              <w:bottom w:w="0" w:type="dxa"/>
              <w:right w:w="108" w:type="dxa"/>
            </w:tcMar>
            <w:vAlign w:val="center"/>
          </w:tcPr>
          <w:p w:rsidR="00DA23BF" w:rsidRPr="001D5B2C" w:rsidRDefault="00DA23BF" w:rsidP="00DA23BF">
            <w:pPr>
              <w:spacing w:after="0" w:line="240" w:lineRule="auto"/>
              <w:ind w:left="180"/>
              <w:contextualSpacing/>
              <w:jc w:val="center"/>
              <w:rPr>
                <w:rFonts w:ascii="Calibri" w:eastAsia="Times New Roman" w:hAnsi="Calibri" w:cs="Times New Roman"/>
                <w:b/>
                <w:bCs/>
                <w:sz w:val="20"/>
                <w:szCs w:val="20"/>
              </w:rPr>
            </w:pPr>
          </w:p>
        </w:tc>
        <w:tc>
          <w:tcPr>
            <w:tcW w:w="499" w:type="pct"/>
            <w:tcBorders>
              <w:top w:val="nil"/>
              <w:left w:val="nil"/>
              <w:bottom w:val="single" w:sz="8" w:space="0" w:color="BFBFBF"/>
              <w:right w:val="single" w:sz="8" w:space="0" w:color="BFBFBF"/>
            </w:tcBorders>
            <w:tcMar>
              <w:top w:w="0" w:type="dxa"/>
              <w:left w:w="108" w:type="dxa"/>
              <w:bottom w:w="0" w:type="dxa"/>
              <w:right w:w="108" w:type="dxa"/>
            </w:tcMar>
            <w:vAlign w:val="center"/>
          </w:tcPr>
          <w:p w:rsidR="00DA23BF" w:rsidRPr="001D5B2C" w:rsidRDefault="00DA23BF" w:rsidP="00DA23BF">
            <w:pPr>
              <w:spacing w:after="0" w:line="240" w:lineRule="auto"/>
              <w:ind w:left="180"/>
              <w:contextualSpacing/>
              <w:jc w:val="center"/>
              <w:rPr>
                <w:rFonts w:ascii="Calibri" w:eastAsia="Times New Roman" w:hAnsi="Calibri" w:cs="Times New Roman"/>
                <w:b/>
                <w:bCs/>
                <w:sz w:val="20"/>
                <w:szCs w:val="20"/>
              </w:rPr>
            </w:pPr>
          </w:p>
        </w:tc>
        <w:tc>
          <w:tcPr>
            <w:tcW w:w="499" w:type="pct"/>
            <w:tcBorders>
              <w:top w:val="nil"/>
              <w:left w:val="nil"/>
              <w:bottom w:val="single" w:sz="8" w:space="0" w:color="BFBFBF"/>
              <w:right w:val="single" w:sz="8" w:space="0" w:color="BFBFBF"/>
            </w:tcBorders>
          </w:tcPr>
          <w:p w:rsidR="00DA23BF" w:rsidRPr="001D5B2C" w:rsidRDefault="00DA23BF" w:rsidP="00DA23BF">
            <w:pPr>
              <w:spacing w:after="0" w:line="240" w:lineRule="auto"/>
              <w:ind w:left="180"/>
              <w:contextualSpacing/>
              <w:jc w:val="center"/>
              <w:rPr>
                <w:rFonts w:ascii="Calibri" w:eastAsia="Times New Roman" w:hAnsi="Calibri" w:cs="Times New Roman"/>
                <w:b/>
                <w:bCs/>
                <w:sz w:val="20"/>
                <w:szCs w:val="20"/>
              </w:rPr>
            </w:pPr>
          </w:p>
        </w:tc>
      </w:tr>
      <w:tr w:rsidR="00DA23BF" w:rsidRPr="00B32D7E" w:rsidTr="00DA23BF">
        <w:trPr>
          <w:trHeight w:val="315"/>
          <w:jc w:val="center"/>
        </w:trPr>
        <w:tc>
          <w:tcPr>
            <w:tcW w:w="1130" w:type="pct"/>
            <w:tcBorders>
              <w:top w:val="nil"/>
              <w:left w:val="single" w:sz="8" w:space="0" w:color="BFBFBF"/>
              <w:bottom w:val="single" w:sz="8" w:space="0" w:color="BFBFBF"/>
              <w:right w:val="single" w:sz="8" w:space="0" w:color="BFBFBF"/>
            </w:tcBorders>
            <w:tcMar>
              <w:top w:w="0" w:type="dxa"/>
              <w:left w:w="108" w:type="dxa"/>
              <w:bottom w:w="0" w:type="dxa"/>
              <w:right w:w="108" w:type="dxa"/>
            </w:tcMar>
            <w:vAlign w:val="center"/>
            <w:hideMark/>
          </w:tcPr>
          <w:p w:rsidR="00DA23BF" w:rsidRPr="001D5B2C" w:rsidRDefault="00DA23BF" w:rsidP="00DA23BF">
            <w:pPr>
              <w:spacing w:after="0" w:line="240" w:lineRule="auto"/>
              <w:ind w:left="180"/>
              <w:contextualSpacing/>
              <w:jc w:val="center"/>
              <w:rPr>
                <w:rFonts w:ascii="Calibri" w:eastAsia="Times New Roman" w:hAnsi="Calibri" w:cs="Times New Roman"/>
                <w:b/>
                <w:bCs/>
                <w:sz w:val="20"/>
                <w:szCs w:val="20"/>
              </w:rPr>
            </w:pPr>
            <w:r w:rsidRPr="00B32D7E">
              <w:rPr>
                <w:rFonts w:ascii="Calibri" w:eastAsia="Times New Roman" w:hAnsi="Calibri" w:cs="Times New Roman"/>
                <w:b/>
                <w:bCs/>
                <w:sz w:val="20"/>
                <w:szCs w:val="20"/>
              </w:rPr>
              <w:t>PSO</w:t>
            </w:r>
            <w:r>
              <w:rPr>
                <w:rFonts w:ascii="Calibri" w:eastAsia="Times New Roman" w:hAnsi="Calibri" w:cs="Times New Roman"/>
                <w:b/>
                <w:bCs/>
                <w:sz w:val="20"/>
                <w:szCs w:val="20"/>
              </w:rPr>
              <w:t xml:space="preserve"> Subvention</w:t>
            </w:r>
          </w:p>
        </w:tc>
        <w:tc>
          <w:tcPr>
            <w:tcW w:w="878" w:type="pct"/>
            <w:tcBorders>
              <w:top w:val="nil"/>
              <w:left w:val="single" w:sz="8" w:space="0" w:color="BFBFBF"/>
              <w:bottom w:val="single" w:sz="8" w:space="0" w:color="BFBFBF"/>
              <w:right w:val="single" w:sz="8" w:space="0" w:color="BFBFBF"/>
            </w:tcBorders>
            <w:vAlign w:val="center"/>
          </w:tcPr>
          <w:p w:rsidR="00DA23BF" w:rsidRPr="001D5B2C" w:rsidRDefault="00DA23BF" w:rsidP="00DA23BF">
            <w:pPr>
              <w:spacing w:after="0" w:line="240" w:lineRule="auto"/>
              <w:ind w:left="180"/>
              <w:contextualSpacing/>
              <w:jc w:val="center"/>
              <w:rPr>
                <w:rFonts w:ascii="Calibri" w:eastAsia="Times New Roman" w:hAnsi="Calibri" w:cs="Times New Roman"/>
                <w:b/>
                <w:bCs/>
                <w:sz w:val="20"/>
                <w:szCs w:val="20"/>
              </w:rPr>
            </w:pPr>
            <w:r w:rsidRPr="001D5B2C">
              <w:rPr>
                <w:rFonts w:ascii="Calibri" w:eastAsia="Times New Roman" w:hAnsi="Calibri" w:cs="Times New Roman"/>
                <w:b/>
                <w:bCs/>
                <w:sz w:val="20"/>
                <w:szCs w:val="20"/>
              </w:rPr>
              <w:t>NTA</w:t>
            </w:r>
          </w:p>
        </w:tc>
        <w:tc>
          <w:tcPr>
            <w:tcW w:w="498" w:type="pct"/>
            <w:tcBorders>
              <w:top w:val="nil"/>
              <w:left w:val="nil"/>
              <w:bottom w:val="single" w:sz="8" w:space="0" w:color="BFBFBF"/>
              <w:right w:val="single" w:sz="8" w:space="0" w:color="BFBFBF"/>
            </w:tcBorders>
            <w:tcMar>
              <w:top w:w="0" w:type="dxa"/>
              <w:left w:w="108" w:type="dxa"/>
              <w:bottom w:w="0" w:type="dxa"/>
              <w:right w:w="108" w:type="dxa"/>
            </w:tcMar>
            <w:vAlign w:val="center"/>
            <w:hideMark/>
          </w:tcPr>
          <w:p w:rsidR="00DA23BF" w:rsidRPr="001D5B2C" w:rsidRDefault="00DA23BF" w:rsidP="00DA23BF">
            <w:pPr>
              <w:spacing w:after="0" w:line="240" w:lineRule="auto"/>
              <w:ind w:left="180"/>
              <w:contextualSpacing/>
              <w:jc w:val="center"/>
              <w:rPr>
                <w:rFonts w:ascii="Calibri" w:eastAsia="Times New Roman" w:hAnsi="Calibri" w:cs="Times New Roman"/>
                <w:b/>
                <w:bCs/>
                <w:sz w:val="20"/>
                <w:szCs w:val="20"/>
              </w:rPr>
            </w:pPr>
            <w:r w:rsidRPr="001D5B2C">
              <w:rPr>
                <w:rFonts w:ascii="Calibri" w:eastAsia="Times New Roman" w:hAnsi="Calibri" w:cs="Times New Roman"/>
                <w:b/>
                <w:bCs/>
                <w:sz w:val="20"/>
                <w:szCs w:val="20"/>
              </w:rPr>
              <w:t>111</w:t>
            </w:r>
          </w:p>
        </w:tc>
        <w:tc>
          <w:tcPr>
            <w:tcW w:w="499" w:type="pct"/>
            <w:tcBorders>
              <w:top w:val="nil"/>
              <w:left w:val="nil"/>
              <w:bottom w:val="single" w:sz="8" w:space="0" w:color="BFBFBF"/>
              <w:right w:val="single" w:sz="8" w:space="0" w:color="BFBFBF"/>
            </w:tcBorders>
            <w:tcMar>
              <w:top w:w="0" w:type="dxa"/>
              <w:left w:w="108" w:type="dxa"/>
              <w:bottom w:w="0" w:type="dxa"/>
              <w:right w:w="108" w:type="dxa"/>
            </w:tcMar>
            <w:vAlign w:val="center"/>
            <w:hideMark/>
          </w:tcPr>
          <w:p w:rsidR="00DA23BF" w:rsidRPr="001D5B2C" w:rsidRDefault="00DA23BF" w:rsidP="00DA23BF">
            <w:pPr>
              <w:spacing w:after="0" w:line="240" w:lineRule="auto"/>
              <w:ind w:left="180"/>
              <w:contextualSpacing/>
              <w:jc w:val="center"/>
              <w:rPr>
                <w:rFonts w:ascii="Calibri" w:eastAsia="Times New Roman" w:hAnsi="Calibri" w:cs="Times New Roman"/>
                <w:b/>
                <w:bCs/>
                <w:sz w:val="20"/>
                <w:szCs w:val="20"/>
              </w:rPr>
            </w:pPr>
            <w:r w:rsidRPr="001D5B2C">
              <w:rPr>
                <w:rFonts w:ascii="Calibri" w:eastAsia="Times New Roman" w:hAnsi="Calibri" w:cs="Times New Roman"/>
                <w:b/>
                <w:bCs/>
                <w:sz w:val="20"/>
                <w:szCs w:val="20"/>
              </w:rPr>
              <w:t>111</w:t>
            </w:r>
          </w:p>
        </w:tc>
        <w:tc>
          <w:tcPr>
            <w:tcW w:w="499" w:type="pct"/>
            <w:tcBorders>
              <w:top w:val="nil"/>
              <w:left w:val="nil"/>
              <w:bottom w:val="single" w:sz="8" w:space="0" w:color="BFBFBF"/>
              <w:right w:val="single" w:sz="8" w:space="0" w:color="BFBFBF"/>
            </w:tcBorders>
            <w:tcMar>
              <w:top w:w="0" w:type="dxa"/>
              <w:left w:w="108" w:type="dxa"/>
              <w:bottom w:w="0" w:type="dxa"/>
              <w:right w:w="108" w:type="dxa"/>
            </w:tcMar>
            <w:vAlign w:val="center"/>
            <w:hideMark/>
          </w:tcPr>
          <w:p w:rsidR="00DA23BF" w:rsidRPr="001D5B2C" w:rsidRDefault="00DA23BF" w:rsidP="00DA23BF">
            <w:pPr>
              <w:spacing w:after="0" w:line="240" w:lineRule="auto"/>
              <w:ind w:left="180"/>
              <w:contextualSpacing/>
              <w:jc w:val="center"/>
              <w:rPr>
                <w:rFonts w:ascii="Calibri" w:eastAsia="Times New Roman" w:hAnsi="Calibri" w:cs="Times New Roman"/>
                <w:b/>
                <w:bCs/>
                <w:sz w:val="20"/>
                <w:szCs w:val="20"/>
              </w:rPr>
            </w:pPr>
            <w:r w:rsidRPr="001D5B2C">
              <w:rPr>
                <w:rFonts w:ascii="Calibri" w:eastAsia="Times New Roman" w:hAnsi="Calibri" w:cs="Times New Roman"/>
                <w:b/>
                <w:bCs/>
                <w:sz w:val="20"/>
                <w:szCs w:val="20"/>
              </w:rPr>
              <w:t>111</w:t>
            </w:r>
          </w:p>
        </w:tc>
        <w:tc>
          <w:tcPr>
            <w:tcW w:w="498" w:type="pct"/>
            <w:tcBorders>
              <w:top w:val="nil"/>
              <w:left w:val="nil"/>
              <w:bottom w:val="single" w:sz="8" w:space="0" w:color="BFBFBF"/>
              <w:right w:val="single" w:sz="8" w:space="0" w:color="BFBFBF"/>
            </w:tcBorders>
            <w:tcMar>
              <w:top w:w="0" w:type="dxa"/>
              <w:left w:w="108" w:type="dxa"/>
              <w:bottom w:w="0" w:type="dxa"/>
              <w:right w:w="108" w:type="dxa"/>
            </w:tcMar>
            <w:vAlign w:val="center"/>
            <w:hideMark/>
          </w:tcPr>
          <w:p w:rsidR="00DA23BF" w:rsidRPr="001D5B2C" w:rsidRDefault="00DA23BF" w:rsidP="00DA23BF">
            <w:pPr>
              <w:spacing w:after="0" w:line="240" w:lineRule="auto"/>
              <w:ind w:left="180"/>
              <w:contextualSpacing/>
              <w:jc w:val="center"/>
              <w:rPr>
                <w:rFonts w:ascii="Calibri" w:eastAsia="Times New Roman" w:hAnsi="Calibri" w:cs="Times New Roman"/>
                <w:b/>
                <w:bCs/>
                <w:sz w:val="20"/>
                <w:szCs w:val="20"/>
              </w:rPr>
            </w:pPr>
            <w:r w:rsidRPr="001D5B2C">
              <w:rPr>
                <w:rFonts w:ascii="Calibri" w:eastAsia="Times New Roman" w:hAnsi="Calibri" w:cs="Times New Roman"/>
                <w:b/>
                <w:bCs/>
                <w:sz w:val="20"/>
                <w:szCs w:val="20"/>
              </w:rPr>
              <w:t>111</w:t>
            </w:r>
          </w:p>
        </w:tc>
        <w:tc>
          <w:tcPr>
            <w:tcW w:w="499" w:type="pct"/>
            <w:tcBorders>
              <w:top w:val="nil"/>
              <w:left w:val="nil"/>
              <w:bottom w:val="single" w:sz="8" w:space="0" w:color="BFBFBF"/>
              <w:right w:val="single" w:sz="8" w:space="0" w:color="BFBFBF"/>
            </w:tcBorders>
            <w:tcMar>
              <w:top w:w="0" w:type="dxa"/>
              <w:left w:w="108" w:type="dxa"/>
              <w:bottom w:w="0" w:type="dxa"/>
              <w:right w:w="108" w:type="dxa"/>
            </w:tcMar>
            <w:vAlign w:val="center"/>
            <w:hideMark/>
          </w:tcPr>
          <w:p w:rsidR="00DA23BF" w:rsidRPr="001D5B2C" w:rsidRDefault="00DA23BF" w:rsidP="00DA23BF">
            <w:pPr>
              <w:spacing w:after="0" w:line="240" w:lineRule="auto"/>
              <w:ind w:left="180"/>
              <w:contextualSpacing/>
              <w:jc w:val="center"/>
              <w:rPr>
                <w:rFonts w:ascii="Calibri" w:eastAsia="Times New Roman" w:hAnsi="Calibri" w:cs="Times New Roman"/>
                <w:b/>
                <w:bCs/>
                <w:sz w:val="20"/>
                <w:szCs w:val="20"/>
              </w:rPr>
            </w:pPr>
            <w:r w:rsidRPr="001D5B2C">
              <w:rPr>
                <w:rFonts w:ascii="Calibri" w:eastAsia="Times New Roman" w:hAnsi="Calibri" w:cs="Times New Roman"/>
                <w:b/>
                <w:bCs/>
                <w:sz w:val="20"/>
                <w:szCs w:val="20"/>
              </w:rPr>
              <w:t>111</w:t>
            </w:r>
          </w:p>
        </w:tc>
        <w:tc>
          <w:tcPr>
            <w:tcW w:w="499" w:type="pct"/>
            <w:tcBorders>
              <w:top w:val="nil"/>
              <w:left w:val="nil"/>
              <w:bottom w:val="single" w:sz="8" w:space="0" w:color="BFBFBF"/>
              <w:right w:val="single" w:sz="8" w:space="0" w:color="BFBFBF"/>
            </w:tcBorders>
            <w:vAlign w:val="center"/>
            <w:hideMark/>
          </w:tcPr>
          <w:p w:rsidR="00DA23BF" w:rsidRPr="001D5B2C" w:rsidRDefault="00DA23BF" w:rsidP="00DA23BF">
            <w:pPr>
              <w:spacing w:after="0" w:line="240" w:lineRule="auto"/>
              <w:ind w:left="180"/>
              <w:contextualSpacing/>
              <w:jc w:val="center"/>
              <w:rPr>
                <w:rFonts w:ascii="Calibri" w:eastAsia="Times New Roman" w:hAnsi="Calibri" w:cs="Times New Roman"/>
                <w:b/>
                <w:bCs/>
                <w:sz w:val="20"/>
                <w:szCs w:val="20"/>
              </w:rPr>
            </w:pPr>
            <w:r w:rsidRPr="001D5B2C">
              <w:rPr>
                <w:rFonts w:ascii="Calibri" w:eastAsia="Times New Roman" w:hAnsi="Calibri" w:cs="Times New Roman"/>
                <w:b/>
                <w:bCs/>
                <w:sz w:val="20"/>
                <w:szCs w:val="20"/>
              </w:rPr>
              <w:t>111</w:t>
            </w:r>
          </w:p>
        </w:tc>
      </w:tr>
      <w:tr w:rsidR="00DA23BF" w:rsidRPr="00B32D7E" w:rsidTr="00DA23BF">
        <w:trPr>
          <w:trHeight w:val="315"/>
          <w:jc w:val="center"/>
        </w:trPr>
        <w:tc>
          <w:tcPr>
            <w:tcW w:w="1130" w:type="pct"/>
            <w:tcBorders>
              <w:top w:val="nil"/>
              <w:left w:val="single" w:sz="8" w:space="0" w:color="BFBFBF"/>
              <w:bottom w:val="single" w:sz="8" w:space="0" w:color="BFBFBF"/>
              <w:right w:val="single" w:sz="8" w:space="0" w:color="BFBFBF"/>
            </w:tcBorders>
            <w:tcMar>
              <w:top w:w="0" w:type="dxa"/>
              <w:left w:w="108" w:type="dxa"/>
              <w:bottom w:w="0" w:type="dxa"/>
              <w:right w:w="108" w:type="dxa"/>
            </w:tcMar>
            <w:vAlign w:val="center"/>
            <w:hideMark/>
          </w:tcPr>
          <w:p w:rsidR="00DA23BF" w:rsidRPr="001D5B2C" w:rsidRDefault="00DA23BF" w:rsidP="00DA23BF">
            <w:pPr>
              <w:spacing w:after="0" w:line="240" w:lineRule="auto"/>
              <w:ind w:left="180"/>
              <w:contextualSpacing/>
              <w:jc w:val="center"/>
              <w:rPr>
                <w:rFonts w:ascii="Calibri" w:eastAsia="Times New Roman" w:hAnsi="Calibri" w:cs="Times New Roman"/>
                <w:b/>
                <w:bCs/>
                <w:sz w:val="20"/>
                <w:szCs w:val="20"/>
              </w:rPr>
            </w:pPr>
            <w:r w:rsidRPr="001D5B2C">
              <w:rPr>
                <w:rFonts w:ascii="Calibri" w:eastAsia="Times New Roman" w:hAnsi="Calibri" w:cs="Times New Roman"/>
                <w:b/>
                <w:bCs/>
                <w:sz w:val="20"/>
                <w:szCs w:val="20"/>
              </w:rPr>
              <w:t> </w:t>
            </w:r>
          </w:p>
        </w:tc>
        <w:tc>
          <w:tcPr>
            <w:tcW w:w="878" w:type="pct"/>
            <w:tcBorders>
              <w:top w:val="nil"/>
              <w:left w:val="single" w:sz="8" w:space="0" w:color="BFBFBF"/>
              <w:bottom w:val="single" w:sz="8" w:space="0" w:color="BFBFBF"/>
              <w:right w:val="single" w:sz="8" w:space="0" w:color="BFBFBF"/>
            </w:tcBorders>
            <w:vAlign w:val="center"/>
          </w:tcPr>
          <w:p w:rsidR="00DA23BF" w:rsidRPr="001D5B2C" w:rsidRDefault="00DA23BF" w:rsidP="00DA23BF">
            <w:pPr>
              <w:spacing w:after="0" w:line="240" w:lineRule="auto"/>
              <w:ind w:left="180"/>
              <w:contextualSpacing/>
              <w:jc w:val="center"/>
              <w:rPr>
                <w:rFonts w:ascii="Calibri" w:eastAsia="Times New Roman" w:hAnsi="Calibri" w:cs="Times New Roman"/>
                <w:b/>
                <w:bCs/>
                <w:sz w:val="20"/>
                <w:szCs w:val="20"/>
              </w:rPr>
            </w:pPr>
          </w:p>
        </w:tc>
        <w:tc>
          <w:tcPr>
            <w:tcW w:w="498" w:type="pct"/>
            <w:tcBorders>
              <w:top w:val="nil"/>
              <w:left w:val="nil"/>
              <w:bottom w:val="single" w:sz="8" w:space="0" w:color="BFBFBF"/>
              <w:right w:val="single" w:sz="8" w:space="0" w:color="BFBFBF"/>
            </w:tcBorders>
            <w:tcMar>
              <w:top w:w="0" w:type="dxa"/>
              <w:left w:w="108" w:type="dxa"/>
              <w:bottom w:w="0" w:type="dxa"/>
              <w:right w:w="108" w:type="dxa"/>
            </w:tcMar>
            <w:vAlign w:val="center"/>
          </w:tcPr>
          <w:p w:rsidR="00DA23BF" w:rsidRPr="001D5B2C" w:rsidRDefault="00DA23BF" w:rsidP="00DA23BF">
            <w:pPr>
              <w:spacing w:after="0" w:line="240" w:lineRule="auto"/>
              <w:ind w:left="180"/>
              <w:contextualSpacing/>
              <w:jc w:val="center"/>
              <w:rPr>
                <w:rFonts w:ascii="Calibri" w:eastAsia="Times New Roman" w:hAnsi="Calibri" w:cs="Times New Roman"/>
                <w:b/>
                <w:bCs/>
                <w:sz w:val="20"/>
                <w:szCs w:val="20"/>
              </w:rPr>
            </w:pPr>
          </w:p>
        </w:tc>
        <w:tc>
          <w:tcPr>
            <w:tcW w:w="499" w:type="pct"/>
            <w:tcBorders>
              <w:top w:val="nil"/>
              <w:left w:val="nil"/>
              <w:bottom w:val="single" w:sz="8" w:space="0" w:color="BFBFBF"/>
              <w:right w:val="single" w:sz="8" w:space="0" w:color="BFBFBF"/>
            </w:tcBorders>
            <w:tcMar>
              <w:top w:w="0" w:type="dxa"/>
              <w:left w:w="108" w:type="dxa"/>
              <w:bottom w:w="0" w:type="dxa"/>
              <w:right w:w="108" w:type="dxa"/>
            </w:tcMar>
            <w:vAlign w:val="center"/>
          </w:tcPr>
          <w:p w:rsidR="00DA23BF" w:rsidRPr="001D5B2C" w:rsidRDefault="00DA23BF" w:rsidP="00DA23BF">
            <w:pPr>
              <w:spacing w:after="0" w:line="240" w:lineRule="auto"/>
              <w:ind w:left="180"/>
              <w:contextualSpacing/>
              <w:jc w:val="center"/>
              <w:rPr>
                <w:rFonts w:ascii="Calibri" w:eastAsia="Times New Roman" w:hAnsi="Calibri" w:cs="Times New Roman"/>
                <w:b/>
                <w:bCs/>
                <w:sz w:val="20"/>
                <w:szCs w:val="20"/>
              </w:rPr>
            </w:pPr>
          </w:p>
        </w:tc>
        <w:tc>
          <w:tcPr>
            <w:tcW w:w="499" w:type="pct"/>
            <w:tcBorders>
              <w:top w:val="nil"/>
              <w:left w:val="nil"/>
              <w:bottom w:val="single" w:sz="8" w:space="0" w:color="BFBFBF"/>
              <w:right w:val="single" w:sz="8" w:space="0" w:color="BFBFBF"/>
            </w:tcBorders>
            <w:tcMar>
              <w:top w:w="0" w:type="dxa"/>
              <w:left w:w="108" w:type="dxa"/>
              <w:bottom w:w="0" w:type="dxa"/>
              <w:right w:w="108" w:type="dxa"/>
            </w:tcMar>
            <w:vAlign w:val="center"/>
          </w:tcPr>
          <w:p w:rsidR="00DA23BF" w:rsidRPr="001D5B2C" w:rsidRDefault="00DA23BF" w:rsidP="00DA23BF">
            <w:pPr>
              <w:spacing w:after="0" w:line="240" w:lineRule="auto"/>
              <w:ind w:left="180"/>
              <w:contextualSpacing/>
              <w:jc w:val="center"/>
              <w:rPr>
                <w:rFonts w:ascii="Calibri" w:eastAsia="Times New Roman" w:hAnsi="Calibri" w:cs="Times New Roman"/>
                <w:b/>
                <w:bCs/>
                <w:sz w:val="20"/>
                <w:szCs w:val="20"/>
              </w:rPr>
            </w:pPr>
          </w:p>
        </w:tc>
        <w:tc>
          <w:tcPr>
            <w:tcW w:w="498" w:type="pct"/>
            <w:tcBorders>
              <w:top w:val="nil"/>
              <w:left w:val="nil"/>
              <w:bottom w:val="single" w:sz="8" w:space="0" w:color="BFBFBF"/>
              <w:right w:val="single" w:sz="8" w:space="0" w:color="BFBFBF"/>
            </w:tcBorders>
            <w:tcMar>
              <w:top w:w="0" w:type="dxa"/>
              <w:left w:w="108" w:type="dxa"/>
              <w:bottom w:w="0" w:type="dxa"/>
              <w:right w:w="108" w:type="dxa"/>
            </w:tcMar>
            <w:vAlign w:val="center"/>
          </w:tcPr>
          <w:p w:rsidR="00DA23BF" w:rsidRPr="001D5B2C" w:rsidRDefault="00DA23BF" w:rsidP="00DA23BF">
            <w:pPr>
              <w:spacing w:after="0" w:line="240" w:lineRule="auto"/>
              <w:ind w:left="180"/>
              <w:contextualSpacing/>
              <w:jc w:val="center"/>
              <w:rPr>
                <w:rFonts w:ascii="Calibri" w:eastAsia="Times New Roman" w:hAnsi="Calibri" w:cs="Times New Roman"/>
                <w:b/>
                <w:bCs/>
                <w:sz w:val="20"/>
                <w:szCs w:val="20"/>
              </w:rPr>
            </w:pPr>
          </w:p>
        </w:tc>
        <w:tc>
          <w:tcPr>
            <w:tcW w:w="499" w:type="pct"/>
            <w:tcBorders>
              <w:top w:val="nil"/>
              <w:left w:val="nil"/>
              <w:bottom w:val="single" w:sz="8" w:space="0" w:color="BFBFBF"/>
              <w:right w:val="single" w:sz="8" w:space="0" w:color="BFBFBF"/>
            </w:tcBorders>
            <w:tcMar>
              <w:top w:w="0" w:type="dxa"/>
              <w:left w:w="108" w:type="dxa"/>
              <w:bottom w:w="0" w:type="dxa"/>
              <w:right w:w="108" w:type="dxa"/>
            </w:tcMar>
            <w:vAlign w:val="center"/>
          </w:tcPr>
          <w:p w:rsidR="00DA23BF" w:rsidRPr="001D5B2C" w:rsidRDefault="00DA23BF" w:rsidP="00DA23BF">
            <w:pPr>
              <w:spacing w:after="0" w:line="240" w:lineRule="auto"/>
              <w:ind w:left="180"/>
              <w:contextualSpacing/>
              <w:jc w:val="center"/>
              <w:rPr>
                <w:rFonts w:ascii="Calibri" w:eastAsia="Times New Roman" w:hAnsi="Calibri" w:cs="Times New Roman"/>
                <w:b/>
                <w:bCs/>
                <w:sz w:val="20"/>
                <w:szCs w:val="20"/>
              </w:rPr>
            </w:pPr>
          </w:p>
        </w:tc>
        <w:tc>
          <w:tcPr>
            <w:tcW w:w="499" w:type="pct"/>
            <w:tcBorders>
              <w:top w:val="nil"/>
              <w:left w:val="nil"/>
              <w:bottom w:val="single" w:sz="8" w:space="0" w:color="BFBFBF"/>
              <w:right w:val="single" w:sz="8" w:space="0" w:color="BFBFBF"/>
            </w:tcBorders>
          </w:tcPr>
          <w:p w:rsidR="00DA23BF" w:rsidRPr="001D5B2C" w:rsidRDefault="00DA23BF" w:rsidP="00DA23BF">
            <w:pPr>
              <w:spacing w:after="0" w:line="240" w:lineRule="auto"/>
              <w:ind w:left="180"/>
              <w:contextualSpacing/>
              <w:jc w:val="center"/>
              <w:rPr>
                <w:rFonts w:ascii="Calibri" w:eastAsia="Times New Roman" w:hAnsi="Calibri" w:cs="Times New Roman"/>
                <w:b/>
                <w:bCs/>
                <w:sz w:val="20"/>
                <w:szCs w:val="20"/>
              </w:rPr>
            </w:pPr>
          </w:p>
        </w:tc>
      </w:tr>
      <w:tr w:rsidR="00DA23BF" w:rsidRPr="00B32D7E" w:rsidTr="00DA23BF">
        <w:trPr>
          <w:trHeight w:val="315"/>
          <w:jc w:val="center"/>
        </w:trPr>
        <w:tc>
          <w:tcPr>
            <w:tcW w:w="1130" w:type="pct"/>
            <w:tcBorders>
              <w:top w:val="nil"/>
              <w:left w:val="single" w:sz="8" w:space="0" w:color="BFBFBF"/>
              <w:bottom w:val="single" w:sz="4" w:space="0" w:color="auto"/>
              <w:right w:val="single" w:sz="8" w:space="0" w:color="BFBFBF"/>
            </w:tcBorders>
            <w:tcMar>
              <w:top w:w="0" w:type="dxa"/>
              <w:left w:w="108" w:type="dxa"/>
              <w:bottom w:w="0" w:type="dxa"/>
              <w:right w:w="108" w:type="dxa"/>
            </w:tcMar>
            <w:vAlign w:val="center"/>
            <w:hideMark/>
          </w:tcPr>
          <w:p w:rsidR="00DA23BF" w:rsidRPr="001D5B2C" w:rsidRDefault="00DA23BF" w:rsidP="00DA23BF">
            <w:pPr>
              <w:spacing w:after="0" w:line="240" w:lineRule="auto"/>
              <w:ind w:left="180"/>
              <w:contextualSpacing/>
              <w:jc w:val="center"/>
              <w:rPr>
                <w:rFonts w:ascii="Calibri" w:eastAsia="Times New Roman" w:hAnsi="Calibri" w:cs="Times New Roman"/>
                <w:b/>
                <w:bCs/>
                <w:sz w:val="20"/>
                <w:szCs w:val="20"/>
              </w:rPr>
            </w:pPr>
            <w:r w:rsidRPr="00B32D7E">
              <w:rPr>
                <w:rFonts w:ascii="Calibri" w:eastAsia="Times New Roman" w:hAnsi="Calibri" w:cs="Times New Roman"/>
                <w:b/>
                <w:bCs/>
                <w:sz w:val="20"/>
                <w:szCs w:val="20"/>
              </w:rPr>
              <w:t>Capital Enhancement</w:t>
            </w:r>
          </w:p>
        </w:tc>
        <w:tc>
          <w:tcPr>
            <w:tcW w:w="878" w:type="pct"/>
            <w:tcBorders>
              <w:top w:val="nil"/>
              <w:left w:val="single" w:sz="8" w:space="0" w:color="BFBFBF"/>
              <w:bottom w:val="single" w:sz="4" w:space="0" w:color="auto"/>
              <w:right w:val="single" w:sz="8" w:space="0" w:color="BFBFBF"/>
            </w:tcBorders>
            <w:vAlign w:val="center"/>
          </w:tcPr>
          <w:p w:rsidR="00DA23BF" w:rsidRPr="001D5B2C" w:rsidRDefault="00DA23BF" w:rsidP="00DA23BF">
            <w:pPr>
              <w:spacing w:after="0" w:line="240" w:lineRule="auto"/>
              <w:ind w:left="180"/>
              <w:contextualSpacing/>
              <w:jc w:val="center"/>
              <w:rPr>
                <w:rFonts w:ascii="Calibri" w:eastAsia="Times New Roman" w:hAnsi="Calibri" w:cs="Times New Roman"/>
                <w:b/>
                <w:bCs/>
                <w:sz w:val="20"/>
                <w:szCs w:val="20"/>
              </w:rPr>
            </w:pPr>
            <w:r w:rsidRPr="001D5B2C">
              <w:rPr>
                <w:rFonts w:ascii="Calibri" w:eastAsia="Times New Roman" w:hAnsi="Calibri" w:cs="Times New Roman"/>
                <w:b/>
                <w:bCs/>
                <w:sz w:val="20"/>
                <w:szCs w:val="20"/>
              </w:rPr>
              <w:t>D</w:t>
            </w:r>
            <w:r>
              <w:rPr>
                <w:rFonts w:ascii="Calibri" w:eastAsia="Times New Roman" w:hAnsi="Calibri" w:cs="Times New Roman"/>
                <w:b/>
                <w:bCs/>
                <w:sz w:val="20"/>
                <w:szCs w:val="20"/>
              </w:rPr>
              <w:t>/</w:t>
            </w:r>
            <w:r w:rsidRPr="001D5B2C">
              <w:rPr>
                <w:rFonts w:ascii="Calibri" w:eastAsia="Times New Roman" w:hAnsi="Calibri" w:cs="Times New Roman"/>
                <w:b/>
                <w:bCs/>
                <w:sz w:val="20"/>
                <w:szCs w:val="20"/>
              </w:rPr>
              <w:t>TTS and NTA</w:t>
            </w:r>
          </w:p>
        </w:tc>
        <w:tc>
          <w:tcPr>
            <w:tcW w:w="498" w:type="pct"/>
            <w:tcBorders>
              <w:top w:val="nil"/>
              <w:left w:val="nil"/>
              <w:bottom w:val="single" w:sz="4" w:space="0" w:color="auto"/>
              <w:right w:val="single" w:sz="8" w:space="0" w:color="BFBFBF"/>
            </w:tcBorders>
            <w:tcMar>
              <w:top w:w="0" w:type="dxa"/>
              <w:left w:w="108" w:type="dxa"/>
              <w:bottom w:w="0" w:type="dxa"/>
              <w:right w:w="108" w:type="dxa"/>
            </w:tcMar>
            <w:vAlign w:val="center"/>
            <w:hideMark/>
          </w:tcPr>
          <w:p w:rsidR="00DA23BF" w:rsidRPr="001D5B2C" w:rsidRDefault="00DA23BF" w:rsidP="00DA23BF">
            <w:pPr>
              <w:spacing w:after="0" w:line="240" w:lineRule="auto"/>
              <w:ind w:left="180"/>
              <w:contextualSpacing/>
              <w:jc w:val="center"/>
              <w:rPr>
                <w:rFonts w:ascii="Calibri" w:eastAsia="Times New Roman" w:hAnsi="Calibri" w:cs="Times New Roman"/>
                <w:b/>
                <w:bCs/>
                <w:sz w:val="20"/>
                <w:szCs w:val="20"/>
              </w:rPr>
            </w:pPr>
            <w:r w:rsidRPr="001D5B2C">
              <w:rPr>
                <w:rFonts w:ascii="Calibri" w:eastAsia="Times New Roman" w:hAnsi="Calibri" w:cs="Times New Roman"/>
                <w:b/>
                <w:bCs/>
                <w:sz w:val="20"/>
                <w:szCs w:val="20"/>
              </w:rPr>
              <w:t>26</w:t>
            </w:r>
          </w:p>
        </w:tc>
        <w:tc>
          <w:tcPr>
            <w:tcW w:w="499" w:type="pct"/>
            <w:tcBorders>
              <w:top w:val="nil"/>
              <w:left w:val="nil"/>
              <w:bottom w:val="single" w:sz="4" w:space="0" w:color="auto"/>
              <w:right w:val="single" w:sz="8" w:space="0" w:color="BFBFBF"/>
            </w:tcBorders>
            <w:tcMar>
              <w:top w:w="0" w:type="dxa"/>
              <w:left w:w="108" w:type="dxa"/>
              <w:bottom w:w="0" w:type="dxa"/>
              <w:right w:w="108" w:type="dxa"/>
            </w:tcMar>
            <w:vAlign w:val="center"/>
            <w:hideMark/>
          </w:tcPr>
          <w:p w:rsidR="00DA23BF" w:rsidRPr="001D5B2C" w:rsidRDefault="00DA23BF" w:rsidP="00DA23BF">
            <w:pPr>
              <w:spacing w:after="0" w:line="240" w:lineRule="auto"/>
              <w:ind w:left="180"/>
              <w:contextualSpacing/>
              <w:jc w:val="center"/>
              <w:rPr>
                <w:rFonts w:ascii="Calibri" w:eastAsia="Times New Roman" w:hAnsi="Calibri" w:cs="Times New Roman"/>
                <w:b/>
                <w:bCs/>
                <w:sz w:val="20"/>
                <w:szCs w:val="20"/>
              </w:rPr>
            </w:pPr>
            <w:r w:rsidRPr="001D5B2C">
              <w:rPr>
                <w:rFonts w:ascii="Calibri" w:eastAsia="Times New Roman" w:hAnsi="Calibri" w:cs="Times New Roman"/>
                <w:b/>
                <w:bCs/>
                <w:sz w:val="20"/>
                <w:szCs w:val="20"/>
              </w:rPr>
              <w:t>11</w:t>
            </w:r>
          </w:p>
        </w:tc>
        <w:tc>
          <w:tcPr>
            <w:tcW w:w="499" w:type="pct"/>
            <w:tcBorders>
              <w:top w:val="nil"/>
              <w:left w:val="nil"/>
              <w:bottom w:val="single" w:sz="4" w:space="0" w:color="auto"/>
              <w:right w:val="single" w:sz="8" w:space="0" w:color="BFBFBF"/>
            </w:tcBorders>
            <w:tcMar>
              <w:top w:w="0" w:type="dxa"/>
              <w:left w:w="108" w:type="dxa"/>
              <w:bottom w:w="0" w:type="dxa"/>
              <w:right w:w="108" w:type="dxa"/>
            </w:tcMar>
            <w:vAlign w:val="center"/>
            <w:hideMark/>
          </w:tcPr>
          <w:p w:rsidR="00DA23BF" w:rsidRPr="001D5B2C" w:rsidRDefault="00DA23BF" w:rsidP="00DA23BF">
            <w:pPr>
              <w:spacing w:after="0" w:line="240" w:lineRule="auto"/>
              <w:ind w:left="180"/>
              <w:contextualSpacing/>
              <w:jc w:val="center"/>
              <w:rPr>
                <w:rFonts w:ascii="Calibri" w:eastAsia="Times New Roman" w:hAnsi="Calibri" w:cs="Times New Roman"/>
                <w:b/>
                <w:bCs/>
                <w:sz w:val="20"/>
                <w:szCs w:val="20"/>
              </w:rPr>
            </w:pPr>
            <w:r w:rsidRPr="001D5B2C">
              <w:rPr>
                <w:rFonts w:ascii="Calibri" w:eastAsia="Times New Roman" w:hAnsi="Calibri" w:cs="Times New Roman"/>
                <w:b/>
                <w:bCs/>
                <w:sz w:val="20"/>
                <w:szCs w:val="20"/>
              </w:rPr>
              <w:t>41</w:t>
            </w:r>
          </w:p>
        </w:tc>
        <w:tc>
          <w:tcPr>
            <w:tcW w:w="498" w:type="pct"/>
            <w:tcBorders>
              <w:top w:val="nil"/>
              <w:left w:val="nil"/>
              <w:bottom w:val="single" w:sz="4" w:space="0" w:color="auto"/>
              <w:right w:val="single" w:sz="8" w:space="0" w:color="BFBFBF"/>
            </w:tcBorders>
            <w:tcMar>
              <w:top w:w="0" w:type="dxa"/>
              <w:left w:w="108" w:type="dxa"/>
              <w:bottom w:w="0" w:type="dxa"/>
              <w:right w:w="108" w:type="dxa"/>
            </w:tcMar>
            <w:vAlign w:val="center"/>
            <w:hideMark/>
          </w:tcPr>
          <w:p w:rsidR="00DA23BF" w:rsidRPr="001D5B2C" w:rsidRDefault="00DA23BF" w:rsidP="00DA23BF">
            <w:pPr>
              <w:spacing w:after="0" w:line="240" w:lineRule="auto"/>
              <w:ind w:left="180"/>
              <w:contextualSpacing/>
              <w:jc w:val="center"/>
              <w:rPr>
                <w:rFonts w:ascii="Calibri" w:eastAsia="Times New Roman" w:hAnsi="Calibri" w:cs="Times New Roman"/>
                <w:b/>
                <w:bCs/>
                <w:sz w:val="20"/>
                <w:szCs w:val="20"/>
              </w:rPr>
            </w:pPr>
            <w:r w:rsidRPr="001D5B2C">
              <w:rPr>
                <w:rFonts w:ascii="Calibri" w:eastAsia="Times New Roman" w:hAnsi="Calibri" w:cs="Times New Roman"/>
                <w:b/>
                <w:bCs/>
                <w:sz w:val="20"/>
                <w:szCs w:val="20"/>
              </w:rPr>
              <w:t>32</w:t>
            </w:r>
          </w:p>
        </w:tc>
        <w:tc>
          <w:tcPr>
            <w:tcW w:w="499" w:type="pct"/>
            <w:tcBorders>
              <w:top w:val="nil"/>
              <w:left w:val="nil"/>
              <w:bottom w:val="single" w:sz="4" w:space="0" w:color="auto"/>
              <w:right w:val="single" w:sz="8" w:space="0" w:color="BFBFBF"/>
            </w:tcBorders>
            <w:tcMar>
              <w:top w:w="0" w:type="dxa"/>
              <w:left w:w="108" w:type="dxa"/>
              <w:bottom w:w="0" w:type="dxa"/>
              <w:right w:w="108" w:type="dxa"/>
            </w:tcMar>
            <w:vAlign w:val="center"/>
          </w:tcPr>
          <w:p w:rsidR="00DA23BF" w:rsidRPr="001D5B2C" w:rsidRDefault="00DA23BF" w:rsidP="00DA23BF">
            <w:pPr>
              <w:spacing w:after="0" w:line="240" w:lineRule="auto"/>
              <w:ind w:left="180"/>
              <w:contextualSpacing/>
              <w:jc w:val="center"/>
              <w:rPr>
                <w:rFonts w:ascii="Calibri" w:eastAsia="Times New Roman" w:hAnsi="Calibri" w:cs="Times New Roman"/>
                <w:b/>
                <w:bCs/>
                <w:sz w:val="20"/>
                <w:szCs w:val="20"/>
              </w:rPr>
            </w:pPr>
            <w:r w:rsidRPr="001D5B2C">
              <w:rPr>
                <w:rFonts w:ascii="Calibri" w:eastAsia="Times New Roman" w:hAnsi="Calibri" w:cs="Times New Roman"/>
                <w:b/>
                <w:bCs/>
                <w:sz w:val="20"/>
                <w:szCs w:val="20"/>
              </w:rPr>
              <w:t>31</w:t>
            </w:r>
          </w:p>
        </w:tc>
        <w:tc>
          <w:tcPr>
            <w:tcW w:w="499" w:type="pct"/>
            <w:tcBorders>
              <w:top w:val="nil"/>
              <w:left w:val="nil"/>
              <w:bottom w:val="single" w:sz="4" w:space="0" w:color="auto"/>
              <w:right w:val="single" w:sz="8" w:space="0" w:color="BFBFBF"/>
            </w:tcBorders>
            <w:vAlign w:val="center"/>
          </w:tcPr>
          <w:p w:rsidR="00DA23BF" w:rsidRPr="001D5B2C" w:rsidRDefault="00DA23BF" w:rsidP="00DA23BF">
            <w:pPr>
              <w:spacing w:after="0" w:line="240" w:lineRule="auto"/>
              <w:ind w:left="180"/>
              <w:contextualSpacing/>
              <w:jc w:val="center"/>
              <w:rPr>
                <w:rFonts w:ascii="Calibri" w:eastAsia="Times New Roman" w:hAnsi="Calibri" w:cs="Times New Roman"/>
                <w:b/>
                <w:bCs/>
                <w:sz w:val="20"/>
                <w:szCs w:val="20"/>
              </w:rPr>
            </w:pPr>
            <w:r w:rsidRPr="001D5B2C">
              <w:rPr>
                <w:rFonts w:ascii="Calibri" w:eastAsia="Times New Roman" w:hAnsi="Calibri" w:cs="Times New Roman"/>
                <w:b/>
                <w:bCs/>
                <w:sz w:val="20"/>
                <w:szCs w:val="20"/>
              </w:rPr>
              <w:t>22</w:t>
            </w:r>
          </w:p>
        </w:tc>
      </w:tr>
      <w:tr w:rsidR="00DA23BF" w:rsidRPr="00B32D7E" w:rsidTr="00DA23BF">
        <w:trPr>
          <w:trHeight w:val="315"/>
          <w:jc w:val="center"/>
        </w:trPr>
        <w:tc>
          <w:tcPr>
            <w:tcW w:w="1130" w:type="pct"/>
            <w:tcBorders>
              <w:top w:val="single" w:sz="4" w:space="0" w:color="auto"/>
              <w:left w:val="single" w:sz="8" w:space="0" w:color="BFBFBF"/>
              <w:bottom w:val="single" w:sz="4" w:space="0" w:color="auto"/>
              <w:right w:val="single" w:sz="8" w:space="0" w:color="BFBFBF"/>
            </w:tcBorders>
            <w:tcMar>
              <w:top w:w="0" w:type="dxa"/>
              <w:left w:w="108" w:type="dxa"/>
              <w:bottom w:w="0" w:type="dxa"/>
              <w:right w:w="108" w:type="dxa"/>
            </w:tcMar>
            <w:vAlign w:val="center"/>
          </w:tcPr>
          <w:p w:rsidR="00DA23BF" w:rsidRPr="00B32D7E" w:rsidRDefault="00DA23BF" w:rsidP="00DA23BF">
            <w:pPr>
              <w:spacing w:after="0" w:line="240" w:lineRule="auto"/>
              <w:ind w:left="180"/>
              <w:contextualSpacing/>
              <w:jc w:val="center"/>
              <w:rPr>
                <w:rFonts w:ascii="Calibri" w:eastAsia="Times New Roman" w:hAnsi="Calibri" w:cs="Times New Roman"/>
                <w:b/>
                <w:bCs/>
                <w:sz w:val="20"/>
                <w:szCs w:val="20"/>
              </w:rPr>
            </w:pPr>
            <w:r>
              <w:rPr>
                <w:rFonts w:ascii="Calibri" w:eastAsia="Times New Roman" w:hAnsi="Calibri" w:cs="Times New Roman"/>
                <w:b/>
                <w:bCs/>
                <w:sz w:val="20"/>
                <w:szCs w:val="20"/>
              </w:rPr>
              <w:t>Sub-t</w:t>
            </w:r>
            <w:r w:rsidRPr="00B32D7E">
              <w:rPr>
                <w:rFonts w:ascii="Calibri" w:eastAsia="Times New Roman" w:hAnsi="Calibri" w:cs="Times New Roman"/>
                <w:b/>
                <w:bCs/>
                <w:sz w:val="20"/>
                <w:szCs w:val="20"/>
              </w:rPr>
              <w:t>otal</w:t>
            </w:r>
          </w:p>
        </w:tc>
        <w:tc>
          <w:tcPr>
            <w:tcW w:w="878" w:type="pct"/>
            <w:tcBorders>
              <w:top w:val="single" w:sz="4" w:space="0" w:color="auto"/>
              <w:left w:val="single" w:sz="8" w:space="0" w:color="BFBFBF"/>
              <w:bottom w:val="single" w:sz="4" w:space="0" w:color="auto"/>
              <w:right w:val="single" w:sz="8" w:space="0" w:color="BFBFBF"/>
            </w:tcBorders>
            <w:vAlign w:val="center"/>
          </w:tcPr>
          <w:p w:rsidR="00DA23BF" w:rsidRPr="00B32D7E" w:rsidRDefault="00DA23BF" w:rsidP="00DA23BF">
            <w:pPr>
              <w:spacing w:after="0" w:line="240" w:lineRule="auto"/>
              <w:ind w:left="180"/>
              <w:contextualSpacing/>
              <w:jc w:val="center"/>
              <w:rPr>
                <w:rFonts w:ascii="Calibri" w:eastAsia="Times New Roman" w:hAnsi="Calibri" w:cs="Times New Roman"/>
                <w:b/>
                <w:bCs/>
                <w:sz w:val="20"/>
                <w:szCs w:val="20"/>
              </w:rPr>
            </w:pPr>
          </w:p>
        </w:tc>
        <w:tc>
          <w:tcPr>
            <w:tcW w:w="498" w:type="pct"/>
            <w:tcBorders>
              <w:top w:val="single" w:sz="4" w:space="0" w:color="auto"/>
              <w:left w:val="nil"/>
              <w:bottom w:val="single" w:sz="4" w:space="0" w:color="auto"/>
              <w:right w:val="single" w:sz="8" w:space="0" w:color="BFBFBF"/>
            </w:tcBorders>
            <w:tcMar>
              <w:top w:w="0" w:type="dxa"/>
              <w:left w:w="108" w:type="dxa"/>
              <w:bottom w:w="0" w:type="dxa"/>
              <w:right w:w="108" w:type="dxa"/>
            </w:tcMar>
            <w:vAlign w:val="center"/>
          </w:tcPr>
          <w:p w:rsidR="00DA23BF" w:rsidRPr="001D5B2C" w:rsidRDefault="00DA23BF" w:rsidP="00DA23BF">
            <w:pPr>
              <w:spacing w:after="0" w:line="240" w:lineRule="auto"/>
              <w:ind w:left="180"/>
              <w:contextualSpacing/>
              <w:jc w:val="center"/>
              <w:rPr>
                <w:rFonts w:ascii="Calibri" w:eastAsia="Times New Roman" w:hAnsi="Calibri" w:cs="Times New Roman"/>
                <w:b/>
                <w:bCs/>
                <w:sz w:val="20"/>
                <w:szCs w:val="20"/>
              </w:rPr>
            </w:pPr>
            <w:r w:rsidRPr="001D5B2C">
              <w:rPr>
                <w:rFonts w:ascii="Calibri" w:eastAsia="Times New Roman" w:hAnsi="Calibri" w:cs="Times New Roman"/>
                <w:b/>
                <w:bCs/>
                <w:sz w:val="20"/>
                <w:szCs w:val="20"/>
              </w:rPr>
              <w:t>263</w:t>
            </w:r>
          </w:p>
        </w:tc>
        <w:tc>
          <w:tcPr>
            <w:tcW w:w="499" w:type="pct"/>
            <w:tcBorders>
              <w:top w:val="single" w:sz="4" w:space="0" w:color="auto"/>
              <w:left w:val="nil"/>
              <w:bottom w:val="single" w:sz="4" w:space="0" w:color="auto"/>
              <w:right w:val="single" w:sz="8" w:space="0" w:color="BFBFBF"/>
            </w:tcBorders>
            <w:tcMar>
              <w:top w:w="0" w:type="dxa"/>
              <w:left w:w="108" w:type="dxa"/>
              <w:bottom w:w="0" w:type="dxa"/>
              <w:right w:w="108" w:type="dxa"/>
            </w:tcMar>
            <w:vAlign w:val="center"/>
          </w:tcPr>
          <w:p w:rsidR="00DA23BF" w:rsidRPr="001D5B2C" w:rsidRDefault="00DA23BF" w:rsidP="00DA23BF">
            <w:pPr>
              <w:spacing w:after="0" w:line="240" w:lineRule="auto"/>
              <w:ind w:left="180"/>
              <w:contextualSpacing/>
              <w:jc w:val="center"/>
              <w:rPr>
                <w:rFonts w:ascii="Calibri" w:eastAsia="Times New Roman" w:hAnsi="Calibri" w:cs="Times New Roman"/>
                <w:b/>
                <w:bCs/>
                <w:sz w:val="20"/>
                <w:szCs w:val="20"/>
              </w:rPr>
            </w:pPr>
            <w:r w:rsidRPr="001D5B2C">
              <w:rPr>
                <w:rFonts w:ascii="Calibri" w:eastAsia="Times New Roman" w:hAnsi="Calibri" w:cs="Times New Roman"/>
                <w:b/>
                <w:bCs/>
                <w:sz w:val="20"/>
                <w:szCs w:val="20"/>
              </w:rPr>
              <w:t>252</w:t>
            </w:r>
          </w:p>
        </w:tc>
        <w:tc>
          <w:tcPr>
            <w:tcW w:w="499" w:type="pct"/>
            <w:tcBorders>
              <w:top w:val="single" w:sz="4" w:space="0" w:color="auto"/>
              <w:left w:val="nil"/>
              <w:bottom w:val="single" w:sz="4" w:space="0" w:color="auto"/>
              <w:right w:val="single" w:sz="8" w:space="0" w:color="BFBFBF"/>
            </w:tcBorders>
            <w:tcMar>
              <w:top w:w="0" w:type="dxa"/>
              <w:left w:w="108" w:type="dxa"/>
              <w:bottom w:w="0" w:type="dxa"/>
              <w:right w:w="108" w:type="dxa"/>
            </w:tcMar>
            <w:vAlign w:val="center"/>
          </w:tcPr>
          <w:p w:rsidR="00DA23BF" w:rsidRPr="001D5B2C" w:rsidRDefault="00DA23BF" w:rsidP="00DA23BF">
            <w:pPr>
              <w:spacing w:after="0" w:line="240" w:lineRule="auto"/>
              <w:ind w:left="180"/>
              <w:contextualSpacing/>
              <w:jc w:val="center"/>
              <w:rPr>
                <w:rFonts w:ascii="Calibri" w:eastAsia="Times New Roman" w:hAnsi="Calibri" w:cs="Times New Roman"/>
                <w:b/>
                <w:bCs/>
                <w:sz w:val="20"/>
                <w:szCs w:val="20"/>
              </w:rPr>
            </w:pPr>
            <w:r w:rsidRPr="001D5B2C">
              <w:rPr>
                <w:rFonts w:ascii="Calibri" w:eastAsia="Times New Roman" w:hAnsi="Calibri" w:cs="Times New Roman"/>
                <w:b/>
                <w:bCs/>
                <w:sz w:val="20"/>
                <w:szCs w:val="20"/>
              </w:rPr>
              <w:t>282</w:t>
            </w:r>
          </w:p>
        </w:tc>
        <w:tc>
          <w:tcPr>
            <w:tcW w:w="498" w:type="pct"/>
            <w:tcBorders>
              <w:top w:val="single" w:sz="4" w:space="0" w:color="auto"/>
              <w:left w:val="nil"/>
              <w:bottom w:val="single" w:sz="4" w:space="0" w:color="auto"/>
              <w:right w:val="single" w:sz="8" w:space="0" w:color="BFBFBF"/>
            </w:tcBorders>
            <w:tcMar>
              <w:top w:w="0" w:type="dxa"/>
              <w:left w:w="108" w:type="dxa"/>
              <w:bottom w:w="0" w:type="dxa"/>
              <w:right w:w="108" w:type="dxa"/>
            </w:tcMar>
            <w:vAlign w:val="center"/>
          </w:tcPr>
          <w:p w:rsidR="00DA23BF" w:rsidRPr="001D5B2C" w:rsidRDefault="00DA23BF" w:rsidP="00DA23BF">
            <w:pPr>
              <w:spacing w:after="0" w:line="240" w:lineRule="auto"/>
              <w:ind w:left="180"/>
              <w:contextualSpacing/>
              <w:jc w:val="center"/>
              <w:rPr>
                <w:rFonts w:ascii="Calibri" w:eastAsia="Times New Roman" w:hAnsi="Calibri" w:cs="Times New Roman"/>
                <w:b/>
                <w:bCs/>
                <w:sz w:val="20"/>
                <w:szCs w:val="20"/>
              </w:rPr>
            </w:pPr>
            <w:r w:rsidRPr="001D5B2C">
              <w:rPr>
                <w:rFonts w:ascii="Calibri" w:eastAsia="Times New Roman" w:hAnsi="Calibri" w:cs="Times New Roman"/>
                <w:b/>
                <w:bCs/>
                <w:sz w:val="20"/>
                <w:szCs w:val="20"/>
              </w:rPr>
              <w:t>273</w:t>
            </w:r>
          </w:p>
        </w:tc>
        <w:tc>
          <w:tcPr>
            <w:tcW w:w="499" w:type="pct"/>
            <w:tcBorders>
              <w:top w:val="single" w:sz="4" w:space="0" w:color="auto"/>
              <w:left w:val="nil"/>
              <w:bottom w:val="single" w:sz="4" w:space="0" w:color="auto"/>
              <w:right w:val="single" w:sz="8" w:space="0" w:color="BFBFBF"/>
            </w:tcBorders>
            <w:tcMar>
              <w:top w:w="0" w:type="dxa"/>
              <w:left w:w="108" w:type="dxa"/>
              <w:bottom w:w="0" w:type="dxa"/>
              <w:right w:w="108" w:type="dxa"/>
            </w:tcMar>
            <w:vAlign w:val="center"/>
          </w:tcPr>
          <w:p w:rsidR="00DA23BF" w:rsidRPr="001D5B2C" w:rsidRDefault="00DA23BF" w:rsidP="00DA23BF">
            <w:pPr>
              <w:spacing w:after="0" w:line="240" w:lineRule="auto"/>
              <w:ind w:left="180"/>
              <w:contextualSpacing/>
              <w:jc w:val="center"/>
              <w:rPr>
                <w:rFonts w:ascii="Calibri" w:eastAsia="Times New Roman" w:hAnsi="Calibri" w:cs="Times New Roman"/>
                <w:b/>
                <w:bCs/>
                <w:sz w:val="20"/>
                <w:szCs w:val="20"/>
              </w:rPr>
            </w:pPr>
            <w:r w:rsidRPr="001D5B2C">
              <w:rPr>
                <w:rFonts w:ascii="Calibri" w:eastAsia="Times New Roman" w:hAnsi="Calibri" w:cs="Times New Roman"/>
                <w:b/>
                <w:bCs/>
                <w:sz w:val="20"/>
                <w:szCs w:val="20"/>
              </w:rPr>
              <w:t>272</w:t>
            </w:r>
          </w:p>
        </w:tc>
        <w:tc>
          <w:tcPr>
            <w:tcW w:w="499" w:type="pct"/>
            <w:tcBorders>
              <w:top w:val="single" w:sz="4" w:space="0" w:color="auto"/>
              <w:left w:val="nil"/>
              <w:bottom w:val="single" w:sz="4" w:space="0" w:color="auto"/>
              <w:right w:val="single" w:sz="8" w:space="0" w:color="BFBFBF"/>
            </w:tcBorders>
            <w:vAlign w:val="center"/>
          </w:tcPr>
          <w:p w:rsidR="00DA23BF" w:rsidRPr="001D5B2C" w:rsidRDefault="00DA23BF" w:rsidP="00DA23BF">
            <w:pPr>
              <w:spacing w:after="0" w:line="240" w:lineRule="auto"/>
              <w:ind w:left="180"/>
              <w:contextualSpacing/>
              <w:jc w:val="center"/>
              <w:rPr>
                <w:rFonts w:ascii="Calibri" w:eastAsia="Times New Roman" w:hAnsi="Calibri" w:cs="Times New Roman"/>
                <w:b/>
                <w:bCs/>
                <w:sz w:val="20"/>
                <w:szCs w:val="20"/>
              </w:rPr>
            </w:pPr>
            <w:r w:rsidRPr="001D5B2C">
              <w:rPr>
                <w:rFonts w:ascii="Calibri" w:eastAsia="Times New Roman" w:hAnsi="Calibri" w:cs="Times New Roman"/>
                <w:b/>
                <w:bCs/>
                <w:sz w:val="20"/>
                <w:szCs w:val="20"/>
              </w:rPr>
              <w:t>263</w:t>
            </w:r>
          </w:p>
        </w:tc>
      </w:tr>
      <w:tr w:rsidR="00DA23BF" w:rsidRPr="00B32D7E" w:rsidTr="00DA23BF">
        <w:trPr>
          <w:trHeight w:val="315"/>
          <w:jc w:val="center"/>
        </w:trPr>
        <w:tc>
          <w:tcPr>
            <w:tcW w:w="1130" w:type="pct"/>
            <w:tcBorders>
              <w:top w:val="single" w:sz="4" w:space="0" w:color="auto"/>
              <w:left w:val="single" w:sz="8" w:space="0" w:color="BFBFBF"/>
              <w:bottom w:val="single" w:sz="4" w:space="0" w:color="auto"/>
              <w:right w:val="single" w:sz="8" w:space="0" w:color="BFBFBF"/>
            </w:tcBorders>
            <w:tcMar>
              <w:top w:w="0" w:type="dxa"/>
              <w:left w:w="108" w:type="dxa"/>
              <w:bottom w:w="0" w:type="dxa"/>
              <w:right w:w="108" w:type="dxa"/>
            </w:tcMar>
            <w:vAlign w:val="center"/>
          </w:tcPr>
          <w:p w:rsidR="00DA23BF" w:rsidRDefault="00DA23BF" w:rsidP="00DA23BF">
            <w:pPr>
              <w:spacing w:after="0" w:line="240" w:lineRule="auto"/>
              <w:ind w:left="180"/>
              <w:contextualSpacing/>
              <w:jc w:val="center"/>
              <w:rPr>
                <w:rFonts w:ascii="Calibri" w:eastAsia="Times New Roman" w:hAnsi="Calibri" w:cs="Times New Roman"/>
                <w:b/>
                <w:bCs/>
                <w:sz w:val="20"/>
                <w:szCs w:val="20"/>
              </w:rPr>
            </w:pPr>
            <w:r>
              <w:rPr>
                <w:rFonts w:ascii="Calibri" w:eastAsia="Times New Roman" w:hAnsi="Calibri" w:cs="Times New Roman"/>
                <w:b/>
                <w:bCs/>
                <w:sz w:val="20"/>
                <w:szCs w:val="20"/>
              </w:rPr>
              <w:t>Free Travel Scheme</w:t>
            </w:r>
          </w:p>
        </w:tc>
        <w:tc>
          <w:tcPr>
            <w:tcW w:w="878" w:type="pct"/>
            <w:tcBorders>
              <w:top w:val="single" w:sz="4" w:space="0" w:color="auto"/>
              <w:left w:val="single" w:sz="8" w:space="0" w:color="BFBFBF"/>
              <w:bottom w:val="single" w:sz="4" w:space="0" w:color="auto"/>
              <w:right w:val="single" w:sz="8" w:space="0" w:color="BFBFBF"/>
            </w:tcBorders>
            <w:vAlign w:val="center"/>
          </w:tcPr>
          <w:p w:rsidR="00DA23BF" w:rsidRPr="00B32D7E" w:rsidRDefault="00DA23BF" w:rsidP="00DA23BF">
            <w:pPr>
              <w:spacing w:after="0" w:line="240" w:lineRule="auto"/>
              <w:ind w:left="180"/>
              <w:contextualSpacing/>
              <w:jc w:val="center"/>
              <w:rPr>
                <w:rFonts w:ascii="Calibri" w:eastAsia="Times New Roman" w:hAnsi="Calibri" w:cs="Times New Roman"/>
                <w:b/>
                <w:bCs/>
                <w:sz w:val="20"/>
                <w:szCs w:val="20"/>
              </w:rPr>
            </w:pPr>
            <w:r>
              <w:rPr>
                <w:rFonts w:ascii="Calibri" w:eastAsia="Times New Roman" w:hAnsi="Calibri" w:cs="Times New Roman"/>
                <w:b/>
                <w:bCs/>
                <w:sz w:val="20"/>
                <w:szCs w:val="20"/>
              </w:rPr>
              <w:t>D/SP</w:t>
            </w:r>
          </w:p>
        </w:tc>
        <w:tc>
          <w:tcPr>
            <w:tcW w:w="498" w:type="pct"/>
            <w:tcBorders>
              <w:top w:val="single" w:sz="4" w:space="0" w:color="auto"/>
              <w:left w:val="nil"/>
              <w:bottom w:val="single" w:sz="4" w:space="0" w:color="auto"/>
              <w:right w:val="single" w:sz="8" w:space="0" w:color="BFBFBF"/>
            </w:tcBorders>
            <w:tcMar>
              <w:top w:w="0" w:type="dxa"/>
              <w:left w:w="108" w:type="dxa"/>
              <w:bottom w:w="0" w:type="dxa"/>
              <w:right w:w="108" w:type="dxa"/>
            </w:tcMar>
            <w:vAlign w:val="center"/>
          </w:tcPr>
          <w:p w:rsidR="00DA23BF" w:rsidRPr="001D5B2C" w:rsidRDefault="00DA23BF" w:rsidP="00DA23BF">
            <w:pPr>
              <w:spacing w:after="0" w:line="240" w:lineRule="auto"/>
              <w:ind w:left="180"/>
              <w:contextualSpacing/>
              <w:jc w:val="center"/>
              <w:rPr>
                <w:rFonts w:ascii="Calibri" w:eastAsia="Times New Roman" w:hAnsi="Calibri" w:cs="Times New Roman"/>
                <w:b/>
                <w:bCs/>
                <w:sz w:val="20"/>
                <w:szCs w:val="20"/>
              </w:rPr>
            </w:pPr>
            <w:r>
              <w:rPr>
                <w:rFonts w:ascii="Calibri" w:eastAsia="Times New Roman" w:hAnsi="Calibri" w:cs="Times New Roman"/>
                <w:b/>
                <w:bCs/>
                <w:sz w:val="20"/>
                <w:szCs w:val="20"/>
              </w:rPr>
              <w:t>15</w:t>
            </w:r>
          </w:p>
        </w:tc>
        <w:tc>
          <w:tcPr>
            <w:tcW w:w="499" w:type="pct"/>
            <w:tcBorders>
              <w:top w:val="single" w:sz="4" w:space="0" w:color="auto"/>
              <w:left w:val="nil"/>
              <w:bottom w:val="single" w:sz="4" w:space="0" w:color="auto"/>
              <w:right w:val="single" w:sz="8" w:space="0" w:color="BFBFBF"/>
            </w:tcBorders>
            <w:tcMar>
              <w:top w:w="0" w:type="dxa"/>
              <w:left w:w="108" w:type="dxa"/>
              <w:bottom w:w="0" w:type="dxa"/>
              <w:right w:w="108" w:type="dxa"/>
            </w:tcMar>
            <w:vAlign w:val="center"/>
          </w:tcPr>
          <w:p w:rsidR="00DA23BF" w:rsidRPr="001D5B2C" w:rsidRDefault="00DA23BF" w:rsidP="00DA23BF">
            <w:pPr>
              <w:spacing w:after="0" w:line="240" w:lineRule="auto"/>
              <w:ind w:left="180"/>
              <w:contextualSpacing/>
              <w:jc w:val="center"/>
              <w:rPr>
                <w:rFonts w:ascii="Calibri" w:eastAsia="Times New Roman" w:hAnsi="Calibri" w:cs="Times New Roman"/>
                <w:b/>
                <w:bCs/>
                <w:sz w:val="20"/>
                <w:szCs w:val="20"/>
              </w:rPr>
            </w:pPr>
            <w:r>
              <w:rPr>
                <w:rFonts w:ascii="Calibri" w:eastAsia="Times New Roman" w:hAnsi="Calibri" w:cs="Times New Roman"/>
                <w:b/>
                <w:bCs/>
                <w:sz w:val="20"/>
                <w:szCs w:val="20"/>
              </w:rPr>
              <w:t>15</w:t>
            </w:r>
          </w:p>
        </w:tc>
        <w:tc>
          <w:tcPr>
            <w:tcW w:w="499" w:type="pct"/>
            <w:tcBorders>
              <w:top w:val="single" w:sz="4" w:space="0" w:color="auto"/>
              <w:left w:val="nil"/>
              <w:bottom w:val="single" w:sz="4" w:space="0" w:color="auto"/>
              <w:right w:val="single" w:sz="8" w:space="0" w:color="BFBFBF"/>
            </w:tcBorders>
            <w:tcMar>
              <w:top w:w="0" w:type="dxa"/>
              <w:left w:w="108" w:type="dxa"/>
              <w:bottom w:w="0" w:type="dxa"/>
              <w:right w:w="108" w:type="dxa"/>
            </w:tcMar>
            <w:vAlign w:val="center"/>
          </w:tcPr>
          <w:p w:rsidR="00DA23BF" w:rsidRPr="001D5B2C" w:rsidRDefault="00DA23BF" w:rsidP="00DA23BF">
            <w:pPr>
              <w:spacing w:after="0" w:line="240" w:lineRule="auto"/>
              <w:ind w:left="180"/>
              <w:contextualSpacing/>
              <w:jc w:val="center"/>
              <w:rPr>
                <w:rFonts w:ascii="Calibri" w:eastAsia="Times New Roman" w:hAnsi="Calibri" w:cs="Times New Roman"/>
                <w:b/>
                <w:bCs/>
                <w:sz w:val="20"/>
                <w:szCs w:val="20"/>
              </w:rPr>
            </w:pPr>
            <w:r>
              <w:rPr>
                <w:rFonts w:ascii="Calibri" w:eastAsia="Times New Roman" w:hAnsi="Calibri" w:cs="Times New Roman"/>
                <w:b/>
                <w:bCs/>
                <w:sz w:val="20"/>
                <w:szCs w:val="20"/>
              </w:rPr>
              <w:t>15</w:t>
            </w:r>
          </w:p>
        </w:tc>
        <w:tc>
          <w:tcPr>
            <w:tcW w:w="498" w:type="pct"/>
            <w:tcBorders>
              <w:top w:val="single" w:sz="4" w:space="0" w:color="auto"/>
              <w:left w:val="nil"/>
              <w:bottom w:val="single" w:sz="4" w:space="0" w:color="auto"/>
              <w:right w:val="single" w:sz="8" w:space="0" w:color="BFBFBF"/>
            </w:tcBorders>
            <w:tcMar>
              <w:top w:w="0" w:type="dxa"/>
              <w:left w:w="108" w:type="dxa"/>
              <w:bottom w:w="0" w:type="dxa"/>
              <w:right w:w="108" w:type="dxa"/>
            </w:tcMar>
            <w:vAlign w:val="center"/>
          </w:tcPr>
          <w:p w:rsidR="00DA23BF" w:rsidRPr="001D5B2C" w:rsidRDefault="00DA23BF" w:rsidP="00DA23BF">
            <w:pPr>
              <w:spacing w:after="0" w:line="240" w:lineRule="auto"/>
              <w:ind w:left="180"/>
              <w:contextualSpacing/>
              <w:jc w:val="center"/>
              <w:rPr>
                <w:rFonts w:ascii="Calibri" w:eastAsia="Times New Roman" w:hAnsi="Calibri" w:cs="Times New Roman"/>
                <w:b/>
                <w:bCs/>
                <w:sz w:val="20"/>
                <w:szCs w:val="20"/>
              </w:rPr>
            </w:pPr>
            <w:r>
              <w:rPr>
                <w:rFonts w:ascii="Calibri" w:eastAsia="Times New Roman" w:hAnsi="Calibri" w:cs="Times New Roman"/>
                <w:b/>
                <w:bCs/>
                <w:sz w:val="20"/>
                <w:szCs w:val="20"/>
              </w:rPr>
              <w:t>15</w:t>
            </w:r>
          </w:p>
        </w:tc>
        <w:tc>
          <w:tcPr>
            <w:tcW w:w="499" w:type="pct"/>
            <w:tcBorders>
              <w:top w:val="single" w:sz="4" w:space="0" w:color="auto"/>
              <w:left w:val="nil"/>
              <w:bottom w:val="single" w:sz="4" w:space="0" w:color="auto"/>
              <w:right w:val="single" w:sz="8" w:space="0" w:color="BFBFBF"/>
            </w:tcBorders>
            <w:tcMar>
              <w:top w:w="0" w:type="dxa"/>
              <w:left w:w="108" w:type="dxa"/>
              <w:bottom w:w="0" w:type="dxa"/>
              <w:right w:w="108" w:type="dxa"/>
            </w:tcMar>
            <w:vAlign w:val="center"/>
          </w:tcPr>
          <w:p w:rsidR="00DA23BF" w:rsidRPr="001D5B2C" w:rsidRDefault="00DA23BF" w:rsidP="00DA23BF">
            <w:pPr>
              <w:spacing w:after="0" w:line="240" w:lineRule="auto"/>
              <w:ind w:left="180"/>
              <w:contextualSpacing/>
              <w:jc w:val="center"/>
              <w:rPr>
                <w:rFonts w:ascii="Calibri" w:eastAsia="Times New Roman" w:hAnsi="Calibri" w:cs="Times New Roman"/>
                <w:b/>
                <w:bCs/>
                <w:sz w:val="20"/>
                <w:szCs w:val="20"/>
              </w:rPr>
            </w:pPr>
            <w:r>
              <w:rPr>
                <w:rFonts w:ascii="Calibri" w:eastAsia="Times New Roman" w:hAnsi="Calibri" w:cs="Times New Roman"/>
                <w:b/>
                <w:bCs/>
                <w:sz w:val="20"/>
                <w:szCs w:val="20"/>
              </w:rPr>
              <w:t>15</w:t>
            </w:r>
          </w:p>
        </w:tc>
        <w:tc>
          <w:tcPr>
            <w:tcW w:w="499" w:type="pct"/>
            <w:tcBorders>
              <w:top w:val="single" w:sz="4" w:space="0" w:color="auto"/>
              <w:left w:val="nil"/>
              <w:bottom w:val="single" w:sz="4" w:space="0" w:color="auto"/>
              <w:right w:val="single" w:sz="8" w:space="0" w:color="BFBFBF"/>
            </w:tcBorders>
            <w:vAlign w:val="center"/>
          </w:tcPr>
          <w:p w:rsidR="00DA23BF" w:rsidRPr="001D5B2C" w:rsidRDefault="00DA23BF" w:rsidP="00DA23BF">
            <w:pPr>
              <w:spacing w:after="0" w:line="240" w:lineRule="auto"/>
              <w:ind w:left="180"/>
              <w:contextualSpacing/>
              <w:jc w:val="center"/>
              <w:rPr>
                <w:rFonts w:ascii="Calibri" w:eastAsia="Times New Roman" w:hAnsi="Calibri" w:cs="Times New Roman"/>
                <w:b/>
                <w:bCs/>
                <w:sz w:val="20"/>
                <w:szCs w:val="20"/>
              </w:rPr>
            </w:pPr>
            <w:r>
              <w:rPr>
                <w:rFonts w:ascii="Calibri" w:eastAsia="Times New Roman" w:hAnsi="Calibri" w:cs="Times New Roman"/>
                <w:b/>
                <w:bCs/>
                <w:sz w:val="20"/>
                <w:szCs w:val="20"/>
              </w:rPr>
              <w:t>15</w:t>
            </w:r>
          </w:p>
        </w:tc>
      </w:tr>
      <w:tr w:rsidR="00DA23BF" w:rsidRPr="00B32D7E" w:rsidTr="003F096F">
        <w:trPr>
          <w:trHeight w:val="315"/>
          <w:jc w:val="center"/>
        </w:trPr>
        <w:tc>
          <w:tcPr>
            <w:tcW w:w="1130" w:type="pct"/>
            <w:tcBorders>
              <w:top w:val="single" w:sz="4" w:space="0" w:color="auto"/>
              <w:left w:val="single" w:sz="8" w:space="0" w:color="BFBFBF"/>
              <w:bottom w:val="single" w:sz="8" w:space="0" w:color="BFBFBF"/>
              <w:right w:val="single" w:sz="8" w:space="0" w:color="BFBFBF"/>
            </w:tcBorders>
            <w:shd w:val="clear" w:color="auto" w:fill="B8CCE4" w:themeFill="accent1" w:themeFillTint="66"/>
            <w:tcMar>
              <w:top w:w="0" w:type="dxa"/>
              <w:left w:w="108" w:type="dxa"/>
              <w:bottom w:w="0" w:type="dxa"/>
              <w:right w:w="108" w:type="dxa"/>
            </w:tcMar>
            <w:vAlign w:val="center"/>
          </w:tcPr>
          <w:p w:rsidR="00DA23BF" w:rsidRDefault="00DA23BF" w:rsidP="00DA23BF">
            <w:pPr>
              <w:spacing w:after="0" w:line="240" w:lineRule="auto"/>
              <w:ind w:left="180"/>
              <w:contextualSpacing/>
              <w:jc w:val="center"/>
              <w:rPr>
                <w:rFonts w:ascii="Calibri" w:eastAsia="Times New Roman" w:hAnsi="Calibri" w:cs="Times New Roman"/>
                <w:b/>
                <w:bCs/>
                <w:sz w:val="20"/>
                <w:szCs w:val="20"/>
              </w:rPr>
            </w:pPr>
            <w:r>
              <w:rPr>
                <w:rFonts w:ascii="Calibri" w:eastAsia="Times New Roman" w:hAnsi="Calibri" w:cs="Times New Roman"/>
                <w:b/>
                <w:bCs/>
                <w:sz w:val="20"/>
                <w:szCs w:val="20"/>
              </w:rPr>
              <w:t>TOTAL</w:t>
            </w:r>
          </w:p>
        </w:tc>
        <w:tc>
          <w:tcPr>
            <w:tcW w:w="878" w:type="pct"/>
            <w:tcBorders>
              <w:top w:val="single" w:sz="4" w:space="0" w:color="auto"/>
              <w:left w:val="single" w:sz="8" w:space="0" w:color="BFBFBF"/>
              <w:bottom w:val="single" w:sz="8" w:space="0" w:color="BFBFBF"/>
              <w:right w:val="single" w:sz="8" w:space="0" w:color="BFBFBF"/>
            </w:tcBorders>
            <w:shd w:val="clear" w:color="auto" w:fill="B8CCE4" w:themeFill="accent1" w:themeFillTint="66"/>
            <w:vAlign w:val="center"/>
          </w:tcPr>
          <w:p w:rsidR="00DA23BF" w:rsidRPr="00B32D7E" w:rsidRDefault="00DA23BF" w:rsidP="00DA23BF">
            <w:pPr>
              <w:spacing w:after="0" w:line="240" w:lineRule="auto"/>
              <w:ind w:left="180"/>
              <w:contextualSpacing/>
              <w:jc w:val="center"/>
              <w:rPr>
                <w:rFonts w:ascii="Calibri" w:eastAsia="Times New Roman" w:hAnsi="Calibri" w:cs="Times New Roman"/>
                <w:b/>
                <w:bCs/>
                <w:sz w:val="20"/>
                <w:szCs w:val="20"/>
              </w:rPr>
            </w:pPr>
          </w:p>
        </w:tc>
        <w:tc>
          <w:tcPr>
            <w:tcW w:w="498" w:type="pct"/>
            <w:tcBorders>
              <w:top w:val="single" w:sz="4" w:space="0" w:color="auto"/>
              <w:left w:val="nil"/>
              <w:bottom w:val="single" w:sz="8" w:space="0" w:color="BFBFBF"/>
              <w:right w:val="single" w:sz="8" w:space="0" w:color="BFBFBF"/>
            </w:tcBorders>
            <w:shd w:val="clear" w:color="auto" w:fill="B8CCE4" w:themeFill="accent1" w:themeFillTint="66"/>
            <w:tcMar>
              <w:top w:w="0" w:type="dxa"/>
              <w:left w:w="108" w:type="dxa"/>
              <w:bottom w:w="0" w:type="dxa"/>
              <w:right w:w="108" w:type="dxa"/>
            </w:tcMar>
            <w:vAlign w:val="center"/>
          </w:tcPr>
          <w:p w:rsidR="00DA23BF" w:rsidRPr="001D5B2C" w:rsidRDefault="005E561B" w:rsidP="00DA23BF">
            <w:pPr>
              <w:spacing w:after="0" w:line="240" w:lineRule="auto"/>
              <w:ind w:left="180"/>
              <w:contextualSpacing/>
              <w:jc w:val="center"/>
              <w:rPr>
                <w:rFonts w:ascii="Calibri" w:eastAsia="Times New Roman" w:hAnsi="Calibri" w:cs="Times New Roman"/>
                <w:b/>
                <w:bCs/>
                <w:sz w:val="20"/>
                <w:szCs w:val="20"/>
              </w:rPr>
            </w:pPr>
            <w:r>
              <w:rPr>
                <w:rFonts w:ascii="Calibri" w:eastAsia="Times New Roman" w:hAnsi="Calibri" w:cs="Times New Roman"/>
                <w:b/>
                <w:bCs/>
                <w:sz w:val="20"/>
                <w:szCs w:val="20"/>
              </w:rPr>
              <w:t>278</w:t>
            </w:r>
          </w:p>
        </w:tc>
        <w:tc>
          <w:tcPr>
            <w:tcW w:w="499" w:type="pct"/>
            <w:tcBorders>
              <w:top w:val="single" w:sz="4" w:space="0" w:color="auto"/>
              <w:left w:val="nil"/>
              <w:bottom w:val="single" w:sz="8" w:space="0" w:color="BFBFBF"/>
              <w:right w:val="single" w:sz="8" w:space="0" w:color="BFBFBF"/>
            </w:tcBorders>
            <w:shd w:val="clear" w:color="auto" w:fill="B8CCE4" w:themeFill="accent1" w:themeFillTint="66"/>
            <w:tcMar>
              <w:top w:w="0" w:type="dxa"/>
              <w:left w:w="108" w:type="dxa"/>
              <w:bottom w:w="0" w:type="dxa"/>
              <w:right w:w="108" w:type="dxa"/>
            </w:tcMar>
            <w:vAlign w:val="center"/>
          </w:tcPr>
          <w:p w:rsidR="00DA23BF" w:rsidRPr="001D5B2C" w:rsidRDefault="005E561B" w:rsidP="00DA23BF">
            <w:pPr>
              <w:spacing w:after="0" w:line="240" w:lineRule="auto"/>
              <w:ind w:left="180"/>
              <w:contextualSpacing/>
              <w:jc w:val="center"/>
              <w:rPr>
                <w:rFonts w:ascii="Calibri" w:eastAsia="Times New Roman" w:hAnsi="Calibri" w:cs="Times New Roman"/>
                <w:b/>
                <w:bCs/>
                <w:sz w:val="20"/>
                <w:szCs w:val="20"/>
              </w:rPr>
            </w:pPr>
            <w:r>
              <w:rPr>
                <w:rFonts w:ascii="Calibri" w:eastAsia="Times New Roman" w:hAnsi="Calibri" w:cs="Times New Roman"/>
                <w:b/>
                <w:bCs/>
                <w:sz w:val="20"/>
                <w:szCs w:val="20"/>
              </w:rPr>
              <w:t>267</w:t>
            </w:r>
          </w:p>
        </w:tc>
        <w:tc>
          <w:tcPr>
            <w:tcW w:w="499" w:type="pct"/>
            <w:tcBorders>
              <w:top w:val="single" w:sz="4" w:space="0" w:color="auto"/>
              <w:left w:val="nil"/>
              <w:bottom w:val="single" w:sz="8" w:space="0" w:color="BFBFBF"/>
              <w:right w:val="single" w:sz="8" w:space="0" w:color="BFBFBF"/>
            </w:tcBorders>
            <w:shd w:val="clear" w:color="auto" w:fill="B8CCE4" w:themeFill="accent1" w:themeFillTint="66"/>
            <w:tcMar>
              <w:top w:w="0" w:type="dxa"/>
              <w:left w:w="108" w:type="dxa"/>
              <w:bottom w:w="0" w:type="dxa"/>
              <w:right w:w="108" w:type="dxa"/>
            </w:tcMar>
            <w:vAlign w:val="center"/>
          </w:tcPr>
          <w:p w:rsidR="00DA23BF" w:rsidRPr="007F2E92" w:rsidRDefault="005E561B" w:rsidP="00DA23BF">
            <w:pPr>
              <w:spacing w:after="0" w:line="240" w:lineRule="auto"/>
              <w:ind w:left="180"/>
              <w:contextualSpacing/>
              <w:jc w:val="center"/>
              <w:rPr>
                <w:rFonts w:ascii="Calibri" w:eastAsia="Times New Roman" w:hAnsi="Calibri" w:cs="Times New Roman"/>
                <w:b/>
                <w:bCs/>
                <w:sz w:val="20"/>
                <w:szCs w:val="20"/>
              </w:rPr>
            </w:pPr>
            <w:r>
              <w:rPr>
                <w:rFonts w:ascii="Calibri" w:eastAsia="Times New Roman" w:hAnsi="Calibri" w:cs="Times New Roman"/>
                <w:b/>
                <w:bCs/>
                <w:sz w:val="20"/>
                <w:szCs w:val="20"/>
              </w:rPr>
              <w:t>297</w:t>
            </w:r>
          </w:p>
        </w:tc>
        <w:tc>
          <w:tcPr>
            <w:tcW w:w="498" w:type="pct"/>
            <w:tcBorders>
              <w:top w:val="single" w:sz="4" w:space="0" w:color="auto"/>
              <w:left w:val="nil"/>
              <w:bottom w:val="single" w:sz="8" w:space="0" w:color="BFBFBF"/>
              <w:right w:val="single" w:sz="8" w:space="0" w:color="BFBFBF"/>
            </w:tcBorders>
            <w:shd w:val="clear" w:color="auto" w:fill="B8CCE4" w:themeFill="accent1" w:themeFillTint="66"/>
            <w:tcMar>
              <w:top w:w="0" w:type="dxa"/>
              <w:left w:w="108" w:type="dxa"/>
              <w:bottom w:w="0" w:type="dxa"/>
              <w:right w:w="108" w:type="dxa"/>
            </w:tcMar>
            <w:vAlign w:val="center"/>
          </w:tcPr>
          <w:p w:rsidR="00DA23BF" w:rsidRPr="007F2E92" w:rsidRDefault="005E561B" w:rsidP="00DA23BF">
            <w:pPr>
              <w:spacing w:after="0" w:line="240" w:lineRule="auto"/>
              <w:ind w:left="180"/>
              <w:contextualSpacing/>
              <w:jc w:val="center"/>
              <w:rPr>
                <w:rFonts w:ascii="Calibri" w:eastAsia="Times New Roman" w:hAnsi="Calibri" w:cs="Times New Roman"/>
                <w:b/>
                <w:bCs/>
                <w:sz w:val="20"/>
                <w:szCs w:val="20"/>
              </w:rPr>
            </w:pPr>
            <w:r>
              <w:rPr>
                <w:rFonts w:ascii="Calibri" w:eastAsia="Times New Roman" w:hAnsi="Calibri" w:cs="Times New Roman"/>
                <w:b/>
                <w:bCs/>
                <w:sz w:val="20"/>
                <w:szCs w:val="20"/>
              </w:rPr>
              <w:t>288</w:t>
            </w:r>
          </w:p>
        </w:tc>
        <w:tc>
          <w:tcPr>
            <w:tcW w:w="499" w:type="pct"/>
            <w:tcBorders>
              <w:top w:val="single" w:sz="4" w:space="0" w:color="auto"/>
              <w:left w:val="nil"/>
              <w:bottom w:val="single" w:sz="8" w:space="0" w:color="BFBFBF"/>
              <w:right w:val="single" w:sz="8" w:space="0" w:color="BFBFBF"/>
            </w:tcBorders>
            <w:shd w:val="clear" w:color="auto" w:fill="B8CCE4" w:themeFill="accent1" w:themeFillTint="66"/>
            <w:tcMar>
              <w:top w:w="0" w:type="dxa"/>
              <w:left w:w="108" w:type="dxa"/>
              <w:bottom w:w="0" w:type="dxa"/>
              <w:right w:w="108" w:type="dxa"/>
            </w:tcMar>
            <w:vAlign w:val="center"/>
          </w:tcPr>
          <w:p w:rsidR="00DA23BF" w:rsidRPr="007F2E92" w:rsidRDefault="005E561B" w:rsidP="00DA23BF">
            <w:pPr>
              <w:spacing w:after="0" w:line="240" w:lineRule="auto"/>
              <w:ind w:left="180"/>
              <w:contextualSpacing/>
              <w:jc w:val="center"/>
              <w:rPr>
                <w:rFonts w:ascii="Calibri" w:eastAsia="Times New Roman" w:hAnsi="Calibri" w:cs="Times New Roman"/>
                <w:b/>
                <w:bCs/>
                <w:sz w:val="20"/>
                <w:szCs w:val="20"/>
              </w:rPr>
            </w:pPr>
            <w:r>
              <w:rPr>
                <w:rFonts w:ascii="Calibri" w:eastAsia="Times New Roman" w:hAnsi="Calibri" w:cs="Times New Roman"/>
                <w:b/>
                <w:bCs/>
                <w:sz w:val="20"/>
                <w:szCs w:val="20"/>
              </w:rPr>
              <w:t>287</w:t>
            </w:r>
          </w:p>
        </w:tc>
        <w:tc>
          <w:tcPr>
            <w:tcW w:w="499" w:type="pct"/>
            <w:tcBorders>
              <w:top w:val="single" w:sz="4" w:space="0" w:color="auto"/>
              <w:left w:val="nil"/>
              <w:bottom w:val="single" w:sz="8" w:space="0" w:color="BFBFBF"/>
              <w:right w:val="single" w:sz="8" w:space="0" w:color="BFBFBF"/>
            </w:tcBorders>
            <w:shd w:val="clear" w:color="auto" w:fill="B8CCE4" w:themeFill="accent1" w:themeFillTint="66"/>
            <w:vAlign w:val="center"/>
          </w:tcPr>
          <w:p w:rsidR="00DA23BF" w:rsidRPr="007F2E92" w:rsidRDefault="005E561B" w:rsidP="00DA23BF">
            <w:pPr>
              <w:spacing w:after="0" w:line="240" w:lineRule="auto"/>
              <w:ind w:left="180"/>
              <w:contextualSpacing/>
              <w:jc w:val="center"/>
              <w:rPr>
                <w:rFonts w:ascii="Calibri" w:eastAsia="Times New Roman" w:hAnsi="Calibri" w:cs="Times New Roman"/>
                <w:b/>
                <w:bCs/>
                <w:sz w:val="20"/>
                <w:szCs w:val="20"/>
              </w:rPr>
            </w:pPr>
            <w:r>
              <w:rPr>
                <w:rFonts w:ascii="Calibri" w:eastAsia="Times New Roman" w:hAnsi="Calibri" w:cs="Times New Roman"/>
                <w:b/>
                <w:bCs/>
                <w:sz w:val="20"/>
                <w:szCs w:val="20"/>
              </w:rPr>
              <w:t>278</w:t>
            </w:r>
          </w:p>
        </w:tc>
      </w:tr>
    </w:tbl>
    <w:p w:rsidR="00DA23BF" w:rsidRPr="007F2E92" w:rsidRDefault="00DA23BF" w:rsidP="00DA23BF">
      <w:pPr>
        <w:jc w:val="both"/>
        <w:rPr>
          <w:sz w:val="20"/>
          <w:szCs w:val="20"/>
        </w:rPr>
      </w:pPr>
      <w:r w:rsidRPr="007F2E92">
        <w:rPr>
          <w:sz w:val="20"/>
          <w:szCs w:val="20"/>
        </w:rPr>
        <w:t xml:space="preserve">*Note that the 2017 figures in this table do not reflect additional funding (of the order of €50 million) </w:t>
      </w:r>
      <w:r>
        <w:rPr>
          <w:sz w:val="20"/>
          <w:szCs w:val="20"/>
        </w:rPr>
        <w:t xml:space="preserve">which will be available </w:t>
      </w:r>
      <w:r w:rsidRPr="007F2E92">
        <w:rPr>
          <w:sz w:val="20"/>
          <w:szCs w:val="20"/>
        </w:rPr>
        <w:t xml:space="preserve">on foot of </w:t>
      </w:r>
      <w:r>
        <w:rPr>
          <w:sz w:val="20"/>
          <w:szCs w:val="20"/>
        </w:rPr>
        <w:t>decisions in B</w:t>
      </w:r>
      <w:r w:rsidRPr="007F2E92">
        <w:rPr>
          <w:sz w:val="20"/>
          <w:szCs w:val="20"/>
        </w:rPr>
        <w:t>udget 2017</w:t>
      </w:r>
      <w:r>
        <w:rPr>
          <w:sz w:val="20"/>
          <w:szCs w:val="20"/>
        </w:rPr>
        <w:t>.  See paragraph 4.4 of this Consultation Paper for further information.</w:t>
      </w:r>
    </w:p>
    <w:p w:rsidR="00A81120" w:rsidRPr="00B32D7E" w:rsidRDefault="00A81120" w:rsidP="005A333C">
      <w:pPr>
        <w:jc w:val="both"/>
        <w:rPr>
          <w:rFonts w:ascii="Calibri" w:hAnsi="Calibri" w:cs="Times New Roman"/>
        </w:rPr>
      </w:pPr>
    </w:p>
    <w:p w:rsidR="00F3789D" w:rsidRPr="00B32D7E" w:rsidRDefault="00974CC1" w:rsidP="00F3789D">
      <w:pPr>
        <w:pStyle w:val="Heading2"/>
      </w:pPr>
      <w:r w:rsidRPr="00B32D7E">
        <w:t>4</w:t>
      </w:r>
      <w:r w:rsidR="00F3789D" w:rsidRPr="00B32D7E">
        <w:t>.</w:t>
      </w:r>
      <w:r w:rsidR="00E852E3">
        <w:t>2</w:t>
      </w:r>
      <w:r w:rsidR="00F3789D" w:rsidRPr="00B32D7E">
        <w:t xml:space="preserve"> </w:t>
      </w:r>
      <w:r w:rsidR="00F3789D" w:rsidRPr="00B32D7E">
        <w:tab/>
        <w:t>Overall financial summary</w:t>
      </w:r>
    </w:p>
    <w:p w:rsidR="00575CB7" w:rsidRDefault="00DA23BF" w:rsidP="00F3789D">
      <w:pPr>
        <w:jc w:val="both"/>
      </w:pPr>
      <w:r>
        <w:t>As part of the 2016 Rail Review, an update analysis was</w:t>
      </w:r>
      <w:r w:rsidR="00575CB7" w:rsidRPr="00B32D7E">
        <w:t xml:space="preserve"> commissioned by Iarnród Éireann from AECOM (engineering and economic consultants) on </w:t>
      </w:r>
      <w:r>
        <w:t xml:space="preserve">a 2011 Report undertaken by those consultants for the rail company to assess </w:t>
      </w:r>
      <w:r w:rsidR="00575CB7" w:rsidRPr="00B32D7E">
        <w:t>the level of funding required to maintain the infrastructure of the railway. The</w:t>
      </w:r>
      <w:r w:rsidR="00E54A7D">
        <w:t xml:space="preserve"> updated analysis indicated that there </w:t>
      </w:r>
      <w:r w:rsidR="00575CB7" w:rsidRPr="00B32D7E">
        <w:t xml:space="preserve">is a gap </w:t>
      </w:r>
      <w:r w:rsidR="00E54A7D">
        <w:t xml:space="preserve">of about €64 million per annum </w:t>
      </w:r>
      <w:r w:rsidR="00575CB7" w:rsidRPr="00B32D7E">
        <w:t xml:space="preserve">between the funding available and the appropriate </w:t>
      </w:r>
      <w:r w:rsidR="00E54A7D">
        <w:t xml:space="preserve">level of </w:t>
      </w:r>
      <w:r w:rsidR="00575CB7" w:rsidRPr="00B32D7E">
        <w:t>funding as advised by AECOM</w:t>
      </w:r>
      <w:r w:rsidR="00575CB7">
        <w:t xml:space="preserve"> </w:t>
      </w:r>
      <w:r w:rsidR="00E54A7D">
        <w:t>to maintain the railway infrastructure</w:t>
      </w:r>
      <w:r w:rsidR="00575CB7" w:rsidRPr="00B32D7E">
        <w:t xml:space="preserve">. </w:t>
      </w:r>
    </w:p>
    <w:p w:rsidR="00F3789D" w:rsidRPr="00B32D7E" w:rsidRDefault="00E54A7D" w:rsidP="00F3789D">
      <w:pPr>
        <w:jc w:val="both"/>
      </w:pPr>
      <w:r>
        <w:rPr>
          <w:bCs/>
        </w:rPr>
        <w:t xml:space="preserve">The combination of the Fares </w:t>
      </w:r>
      <w:r w:rsidR="00F3789D" w:rsidRPr="00B32D7E">
        <w:rPr>
          <w:bCs/>
        </w:rPr>
        <w:t xml:space="preserve">Revenues and the Public Service Obligation payment </w:t>
      </w:r>
      <w:r>
        <w:rPr>
          <w:bCs/>
        </w:rPr>
        <w:t>is</w:t>
      </w:r>
      <w:r w:rsidR="00F3789D" w:rsidRPr="00B32D7E">
        <w:rPr>
          <w:bCs/>
        </w:rPr>
        <w:t xml:space="preserve"> insufficient to ensure, at least, a break-even financial position in operating services. A Train Operations Funding Gap </w:t>
      </w:r>
      <w:r w:rsidR="00A634C4">
        <w:rPr>
          <w:bCs/>
        </w:rPr>
        <w:t xml:space="preserve">within the Railway Undertaking division </w:t>
      </w:r>
      <w:r w:rsidR="00F3789D" w:rsidRPr="00B32D7E">
        <w:rPr>
          <w:bCs/>
        </w:rPr>
        <w:t>occurs now and will continue to do so into the foreseeable future</w:t>
      </w:r>
      <w:r w:rsidR="00F3789D" w:rsidRPr="00B32D7E">
        <w:t xml:space="preserve"> on the basis of projections of fares revenues and the Public Services Obligation payment.  </w:t>
      </w:r>
    </w:p>
    <w:p w:rsidR="00F3789D" w:rsidRPr="00B32D7E" w:rsidRDefault="00E54A7D" w:rsidP="00F3789D">
      <w:pPr>
        <w:jc w:val="both"/>
        <w:rPr>
          <w:lang w:eastAsia="en-IE"/>
        </w:rPr>
      </w:pPr>
      <w:r>
        <w:rPr>
          <w:lang w:eastAsia="en-IE"/>
        </w:rPr>
        <w:t>As set out in the Rail Review, t</w:t>
      </w:r>
      <w:r w:rsidR="00F3789D" w:rsidRPr="00B32D7E">
        <w:rPr>
          <w:lang w:eastAsia="en-IE"/>
        </w:rPr>
        <w:t>o adequately meet future growth objectives, a number of measures</w:t>
      </w:r>
      <w:r>
        <w:rPr>
          <w:lang w:eastAsia="en-IE"/>
        </w:rPr>
        <w:t xml:space="preserve"> would</w:t>
      </w:r>
      <w:r w:rsidR="00F3789D" w:rsidRPr="00B32D7E">
        <w:rPr>
          <w:lang w:eastAsia="en-IE"/>
        </w:rPr>
        <w:t xml:space="preserve"> need to be taken to enhance IÉ’s fleet. This is particularly relevant to Intercity and Commuter services, as DART services have already undergone capacity enhancements in April of this year in preparation for the future DART 10 minute timetable. Provision is included in </w:t>
      </w:r>
      <w:r w:rsidR="004D43BE">
        <w:rPr>
          <w:lang w:eastAsia="en-IE"/>
        </w:rPr>
        <w:t>T</w:t>
      </w:r>
      <w:r w:rsidR="00F3789D" w:rsidRPr="00B32D7E">
        <w:rPr>
          <w:lang w:eastAsia="en-IE"/>
        </w:rPr>
        <w:t xml:space="preserve">able </w:t>
      </w:r>
      <w:r w:rsidR="008F7773">
        <w:rPr>
          <w:lang w:eastAsia="en-IE"/>
        </w:rPr>
        <w:t>3 below</w:t>
      </w:r>
      <w:r w:rsidR="00F3789D" w:rsidRPr="00B32D7E">
        <w:rPr>
          <w:lang w:eastAsia="en-IE"/>
        </w:rPr>
        <w:t xml:space="preserve"> for necessary additional fleet.</w:t>
      </w:r>
    </w:p>
    <w:p w:rsidR="00F3789D" w:rsidRDefault="00E54A7D" w:rsidP="00F3789D">
      <w:pPr>
        <w:jc w:val="both"/>
      </w:pPr>
      <w:r>
        <w:lastRenderedPageBreak/>
        <w:t>Thus, t</w:t>
      </w:r>
      <w:r w:rsidR="00F3789D" w:rsidRPr="00B32D7E">
        <w:t xml:space="preserve">he total projected funding gap comprises a gap in funding available for both Infrastructure Maintenance and Company Operations. Table </w:t>
      </w:r>
      <w:r w:rsidR="00361AAD">
        <w:t>4</w:t>
      </w:r>
      <w:r w:rsidR="00F3789D" w:rsidRPr="00B32D7E">
        <w:t xml:space="preserve"> below summarises the projected Iarnród Éireann cash funding gap for the period 201</w:t>
      </w:r>
      <w:r w:rsidR="00C7313B">
        <w:t>7</w:t>
      </w:r>
      <w:r w:rsidR="00F3789D" w:rsidRPr="00B32D7E">
        <w:t xml:space="preserve"> to 20</w:t>
      </w:r>
      <w:r w:rsidR="00C7313B">
        <w:t>21. The total funding gap for that period is about €517 million (excluding the impact of Budget 2017 – see para. 4.4 below) which averages €103 million per annum.</w:t>
      </w:r>
    </w:p>
    <w:p w:rsidR="00F3789D" w:rsidRDefault="00F3789D" w:rsidP="00F3789D">
      <w:pPr>
        <w:jc w:val="both"/>
        <w:rPr>
          <w:b/>
        </w:rPr>
      </w:pPr>
      <w:r w:rsidRPr="00B32D7E">
        <w:rPr>
          <w:b/>
        </w:rPr>
        <w:t xml:space="preserve">Table </w:t>
      </w:r>
      <w:r w:rsidR="008F7773">
        <w:rPr>
          <w:b/>
        </w:rPr>
        <w:t>3</w:t>
      </w:r>
      <w:r w:rsidRPr="00B32D7E">
        <w:rPr>
          <w:b/>
        </w:rPr>
        <w:t xml:space="preserve">: Total </w:t>
      </w:r>
      <w:r w:rsidR="002B5317">
        <w:rPr>
          <w:b/>
        </w:rPr>
        <w:t xml:space="preserve">Estimated </w:t>
      </w:r>
      <w:r w:rsidRPr="00B32D7E">
        <w:rPr>
          <w:b/>
        </w:rPr>
        <w:t xml:space="preserve">Rail Funding </w:t>
      </w:r>
      <w:r w:rsidR="002B5317">
        <w:rPr>
          <w:b/>
        </w:rPr>
        <w:t>G</w:t>
      </w:r>
      <w:r w:rsidRPr="00B32D7E">
        <w:rPr>
          <w:b/>
        </w:rPr>
        <w:t>ap</w:t>
      </w:r>
      <w:r w:rsidR="002B5317">
        <w:rPr>
          <w:b/>
        </w:rPr>
        <w:t xml:space="preserve"> (analysis prior to Budget 2017)</w:t>
      </w:r>
    </w:p>
    <w:p w:rsidR="00CB7527" w:rsidRDefault="00CB7527" w:rsidP="00F3789D">
      <w:pPr>
        <w:jc w:val="both"/>
      </w:pPr>
      <w:r>
        <w:rPr>
          <w:b/>
        </w:rPr>
        <w:fldChar w:fldCharType="begin"/>
      </w:r>
      <w:r>
        <w:rPr>
          <w:b/>
        </w:rPr>
        <w:instrText xml:space="preserve"> LINK Excel.Sheet.12 "D:\\Users\\anne.graham\\AppData\\Local\\Microsoft\\Windows\\Temporary Internet Files\\Content.Outlook\\MTOZTHFB\\MOS Rail Review Finance Info and Graphs 2016.xlsx" "Additional Funding!R18C1:R26C6" \a \f 5 \h  \* MERGEFORMAT </w:instrText>
      </w:r>
      <w:r>
        <w:rPr>
          <w:b/>
        </w:rPr>
        <w:fldChar w:fldCharType="separate"/>
      </w:r>
    </w:p>
    <w:tbl>
      <w:tblPr>
        <w:tblStyle w:val="TableGrid"/>
        <w:tblW w:w="8613" w:type="dxa"/>
        <w:tblLayout w:type="fixed"/>
        <w:tblLook w:val="04A0" w:firstRow="1" w:lastRow="0" w:firstColumn="1" w:lastColumn="0" w:noHBand="0" w:noVBand="1"/>
      </w:tblPr>
      <w:tblGrid>
        <w:gridCol w:w="3652"/>
        <w:gridCol w:w="992"/>
        <w:gridCol w:w="992"/>
        <w:gridCol w:w="992"/>
        <w:gridCol w:w="992"/>
        <w:gridCol w:w="993"/>
      </w:tblGrid>
      <w:tr w:rsidR="00CB7527" w:rsidRPr="00CB7527" w:rsidTr="00CB7527">
        <w:trPr>
          <w:trHeight w:val="582"/>
        </w:trPr>
        <w:tc>
          <w:tcPr>
            <w:tcW w:w="3652" w:type="dxa"/>
            <w:shd w:val="clear" w:color="auto" w:fill="B8CCE4" w:themeFill="accent1" w:themeFillTint="66"/>
            <w:noWrap/>
            <w:vAlign w:val="center"/>
            <w:hideMark/>
          </w:tcPr>
          <w:p w:rsidR="00CB7527" w:rsidRPr="00CB7527" w:rsidRDefault="00CB7527" w:rsidP="00CB7527">
            <w:pPr>
              <w:rPr>
                <w:b/>
                <w:bCs/>
              </w:rPr>
            </w:pPr>
            <w:r w:rsidRPr="00CB7527">
              <w:rPr>
                <w:b/>
                <w:bCs/>
              </w:rPr>
              <w:t>Additional Funding Required:</w:t>
            </w:r>
          </w:p>
        </w:tc>
        <w:tc>
          <w:tcPr>
            <w:tcW w:w="992" w:type="dxa"/>
            <w:shd w:val="clear" w:color="auto" w:fill="B8CCE4" w:themeFill="accent1" w:themeFillTint="66"/>
            <w:noWrap/>
            <w:vAlign w:val="bottom"/>
            <w:hideMark/>
          </w:tcPr>
          <w:p w:rsidR="00CB7527" w:rsidRPr="00CB7527" w:rsidRDefault="00CB7527" w:rsidP="00CB7527">
            <w:pPr>
              <w:rPr>
                <w:b/>
                <w:bCs/>
              </w:rPr>
            </w:pPr>
            <w:r w:rsidRPr="00CB7527">
              <w:rPr>
                <w:b/>
                <w:bCs/>
              </w:rPr>
              <w:t>2017</w:t>
            </w:r>
          </w:p>
          <w:p w:rsidR="00CB7527" w:rsidRPr="00CB7527" w:rsidRDefault="00CB7527" w:rsidP="00CB7527">
            <w:pPr>
              <w:rPr>
                <w:b/>
                <w:bCs/>
              </w:rPr>
            </w:pPr>
            <w:r w:rsidRPr="00CB7527">
              <w:rPr>
                <w:b/>
                <w:bCs/>
              </w:rPr>
              <w:t>€m</w:t>
            </w:r>
          </w:p>
        </w:tc>
        <w:tc>
          <w:tcPr>
            <w:tcW w:w="992" w:type="dxa"/>
            <w:shd w:val="clear" w:color="auto" w:fill="B8CCE4" w:themeFill="accent1" w:themeFillTint="66"/>
            <w:noWrap/>
            <w:vAlign w:val="bottom"/>
            <w:hideMark/>
          </w:tcPr>
          <w:p w:rsidR="00CB7527" w:rsidRPr="00CB7527" w:rsidRDefault="00CB7527" w:rsidP="00CB7527">
            <w:pPr>
              <w:rPr>
                <w:b/>
                <w:bCs/>
              </w:rPr>
            </w:pPr>
            <w:r w:rsidRPr="00CB7527">
              <w:rPr>
                <w:b/>
                <w:bCs/>
              </w:rPr>
              <w:t>2018</w:t>
            </w:r>
          </w:p>
          <w:p w:rsidR="00CB7527" w:rsidRPr="00CB7527" w:rsidRDefault="00CB7527" w:rsidP="00CB7527">
            <w:pPr>
              <w:rPr>
                <w:b/>
                <w:bCs/>
              </w:rPr>
            </w:pPr>
            <w:r w:rsidRPr="00CB7527">
              <w:rPr>
                <w:b/>
                <w:bCs/>
              </w:rPr>
              <w:t>€m</w:t>
            </w:r>
          </w:p>
        </w:tc>
        <w:tc>
          <w:tcPr>
            <w:tcW w:w="992" w:type="dxa"/>
            <w:shd w:val="clear" w:color="auto" w:fill="B8CCE4" w:themeFill="accent1" w:themeFillTint="66"/>
            <w:noWrap/>
            <w:vAlign w:val="bottom"/>
            <w:hideMark/>
          </w:tcPr>
          <w:p w:rsidR="00CB7527" w:rsidRPr="00CB7527" w:rsidRDefault="00CB7527" w:rsidP="00CB7527">
            <w:pPr>
              <w:rPr>
                <w:b/>
                <w:bCs/>
              </w:rPr>
            </w:pPr>
            <w:r w:rsidRPr="00CB7527">
              <w:rPr>
                <w:b/>
                <w:bCs/>
              </w:rPr>
              <w:t>2019</w:t>
            </w:r>
          </w:p>
          <w:p w:rsidR="00CB7527" w:rsidRPr="00CB7527" w:rsidRDefault="00CB7527" w:rsidP="00CB7527">
            <w:pPr>
              <w:rPr>
                <w:b/>
                <w:bCs/>
              </w:rPr>
            </w:pPr>
            <w:r w:rsidRPr="00CB7527">
              <w:rPr>
                <w:b/>
                <w:bCs/>
              </w:rPr>
              <w:t>€m</w:t>
            </w:r>
          </w:p>
        </w:tc>
        <w:tc>
          <w:tcPr>
            <w:tcW w:w="992" w:type="dxa"/>
            <w:shd w:val="clear" w:color="auto" w:fill="B8CCE4" w:themeFill="accent1" w:themeFillTint="66"/>
            <w:noWrap/>
            <w:vAlign w:val="bottom"/>
            <w:hideMark/>
          </w:tcPr>
          <w:p w:rsidR="00CB7527" w:rsidRPr="00CB7527" w:rsidRDefault="00CB7527" w:rsidP="00CB7527">
            <w:pPr>
              <w:rPr>
                <w:b/>
                <w:bCs/>
              </w:rPr>
            </w:pPr>
            <w:r w:rsidRPr="00CB7527">
              <w:rPr>
                <w:b/>
                <w:bCs/>
              </w:rPr>
              <w:t>2020</w:t>
            </w:r>
          </w:p>
          <w:p w:rsidR="00CB7527" w:rsidRPr="00CB7527" w:rsidRDefault="00CB7527" w:rsidP="00CB7527">
            <w:pPr>
              <w:rPr>
                <w:b/>
                <w:bCs/>
              </w:rPr>
            </w:pPr>
            <w:r w:rsidRPr="00CB7527">
              <w:rPr>
                <w:b/>
                <w:bCs/>
              </w:rPr>
              <w:t>€m</w:t>
            </w:r>
          </w:p>
        </w:tc>
        <w:tc>
          <w:tcPr>
            <w:tcW w:w="993" w:type="dxa"/>
            <w:shd w:val="clear" w:color="auto" w:fill="B8CCE4" w:themeFill="accent1" w:themeFillTint="66"/>
            <w:noWrap/>
            <w:vAlign w:val="bottom"/>
            <w:hideMark/>
          </w:tcPr>
          <w:p w:rsidR="00CB7527" w:rsidRPr="00CB7527" w:rsidRDefault="00CB7527" w:rsidP="00CB7527">
            <w:pPr>
              <w:rPr>
                <w:b/>
                <w:bCs/>
              </w:rPr>
            </w:pPr>
            <w:r w:rsidRPr="00CB7527">
              <w:rPr>
                <w:b/>
                <w:bCs/>
              </w:rPr>
              <w:t>2021</w:t>
            </w:r>
          </w:p>
          <w:p w:rsidR="00CB7527" w:rsidRPr="00CB7527" w:rsidRDefault="00CB7527" w:rsidP="00CB7527">
            <w:pPr>
              <w:rPr>
                <w:b/>
                <w:bCs/>
              </w:rPr>
            </w:pPr>
            <w:r w:rsidRPr="00CB7527">
              <w:rPr>
                <w:b/>
                <w:bCs/>
              </w:rPr>
              <w:t>€m</w:t>
            </w:r>
          </w:p>
        </w:tc>
      </w:tr>
      <w:tr w:rsidR="00CB7527" w:rsidRPr="00CB7527" w:rsidTr="003F096F">
        <w:trPr>
          <w:trHeight w:val="305"/>
        </w:trPr>
        <w:tc>
          <w:tcPr>
            <w:tcW w:w="3652" w:type="dxa"/>
            <w:noWrap/>
            <w:vAlign w:val="bottom"/>
            <w:hideMark/>
          </w:tcPr>
          <w:p w:rsidR="00CB7527" w:rsidRPr="00CB7527" w:rsidRDefault="00CB7527" w:rsidP="00CB7527">
            <w:pPr>
              <w:rPr>
                <w:b/>
                <w:bCs/>
              </w:rPr>
            </w:pPr>
            <w:r w:rsidRPr="00CB7527">
              <w:rPr>
                <w:b/>
                <w:bCs/>
              </w:rPr>
              <w:t>Infrastructure Manager</w:t>
            </w:r>
          </w:p>
        </w:tc>
        <w:tc>
          <w:tcPr>
            <w:tcW w:w="992" w:type="dxa"/>
            <w:noWrap/>
            <w:vAlign w:val="bottom"/>
            <w:hideMark/>
          </w:tcPr>
          <w:p w:rsidR="00CB7527" w:rsidRPr="00CB7527" w:rsidRDefault="00CB7527" w:rsidP="00CB7527">
            <w:pPr>
              <w:rPr>
                <w:b/>
              </w:rPr>
            </w:pPr>
          </w:p>
        </w:tc>
        <w:tc>
          <w:tcPr>
            <w:tcW w:w="992" w:type="dxa"/>
            <w:noWrap/>
            <w:vAlign w:val="bottom"/>
            <w:hideMark/>
          </w:tcPr>
          <w:p w:rsidR="00CB7527" w:rsidRPr="00CB7527" w:rsidRDefault="00CB7527" w:rsidP="00CB7527">
            <w:pPr>
              <w:rPr>
                <w:b/>
              </w:rPr>
            </w:pPr>
          </w:p>
        </w:tc>
        <w:tc>
          <w:tcPr>
            <w:tcW w:w="992" w:type="dxa"/>
            <w:noWrap/>
            <w:vAlign w:val="bottom"/>
            <w:hideMark/>
          </w:tcPr>
          <w:p w:rsidR="00CB7527" w:rsidRPr="00CB7527" w:rsidRDefault="00CB7527" w:rsidP="00CB7527">
            <w:pPr>
              <w:rPr>
                <w:b/>
              </w:rPr>
            </w:pPr>
          </w:p>
        </w:tc>
        <w:tc>
          <w:tcPr>
            <w:tcW w:w="992" w:type="dxa"/>
            <w:noWrap/>
            <w:vAlign w:val="bottom"/>
            <w:hideMark/>
          </w:tcPr>
          <w:p w:rsidR="00CB7527" w:rsidRPr="00CB7527" w:rsidRDefault="00CB7527" w:rsidP="00CB7527">
            <w:pPr>
              <w:rPr>
                <w:b/>
              </w:rPr>
            </w:pPr>
          </w:p>
        </w:tc>
        <w:tc>
          <w:tcPr>
            <w:tcW w:w="993" w:type="dxa"/>
            <w:noWrap/>
            <w:vAlign w:val="bottom"/>
            <w:hideMark/>
          </w:tcPr>
          <w:p w:rsidR="00CB7527" w:rsidRPr="00CB7527" w:rsidRDefault="00CB7527" w:rsidP="00CB7527">
            <w:pPr>
              <w:rPr>
                <w:b/>
              </w:rPr>
            </w:pPr>
            <w:r w:rsidRPr="00CB7527">
              <w:rPr>
                <w:b/>
              </w:rPr>
              <w:t> </w:t>
            </w:r>
          </w:p>
        </w:tc>
      </w:tr>
      <w:tr w:rsidR="00CB7527" w:rsidRPr="00CB7527" w:rsidTr="003F096F">
        <w:trPr>
          <w:trHeight w:val="305"/>
        </w:trPr>
        <w:tc>
          <w:tcPr>
            <w:tcW w:w="3652" w:type="dxa"/>
            <w:noWrap/>
            <w:vAlign w:val="bottom"/>
            <w:hideMark/>
          </w:tcPr>
          <w:p w:rsidR="00CB7527" w:rsidRPr="00CB7527" w:rsidRDefault="002B5317" w:rsidP="002B5317">
            <w:r>
              <w:t>Gap in funding to keep infrastructure at "</w:t>
            </w:r>
            <w:r w:rsidR="00CB7527" w:rsidRPr="00CB7527">
              <w:t>Steady State</w:t>
            </w:r>
            <w:r>
              <w:t xml:space="preserve">" levels </w:t>
            </w:r>
            <w:r w:rsidR="00CB7527" w:rsidRPr="00CB7527">
              <w:t>(</w:t>
            </w:r>
            <w:r>
              <w:t xml:space="preserve">per </w:t>
            </w:r>
            <w:r w:rsidR="00CB7527" w:rsidRPr="00CB7527">
              <w:t>AECOM</w:t>
            </w:r>
            <w:r>
              <w:t xml:space="preserve"> analysis for RAIL Review 2016</w:t>
            </w:r>
            <w:r w:rsidR="00CB7527" w:rsidRPr="00CB7527">
              <w:t>)</w:t>
            </w:r>
          </w:p>
        </w:tc>
        <w:tc>
          <w:tcPr>
            <w:tcW w:w="992" w:type="dxa"/>
            <w:noWrap/>
            <w:vAlign w:val="bottom"/>
            <w:hideMark/>
          </w:tcPr>
          <w:p w:rsidR="00CB7527" w:rsidRPr="00CB7527" w:rsidRDefault="00CB7527" w:rsidP="00CB7527">
            <w:pPr>
              <w:rPr>
                <w:b/>
              </w:rPr>
            </w:pPr>
            <w:r w:rsidRPr="00CB7527">
              <w:rPr>
                <w:b/>
              </w:rPr>
              <w:t xml:space="preserve">          64.2 </w:t>
            </w:r>
          </w:p>
        </w:tc>
        <w:tc>
          <w:tcPr>
            <w:tcW w:w="992" w:type="dxa"/>
            <w:noWrap/>
            <w:vAlign w:val="bottom"/>
            <w:hideMark/>
          </w:tcPr>
          <w:p w:rsidR="00CB7527" w:rsidRPr="00CB7527" w:rsidRDefault="00CB7527" w:rsidP="00CB7527">
            <w:pPr>
              <w:rPr>
                <w:b/>
              </w:rPr>
            </w:pPr>
            <w:r w:rsidRPr="00CB7527">
              <w:rPr>
                <w:b/>
              </w:rPr>
              <w:t xml:space="preserve">          64.1 </w:t>
            </w:r>
          </w:p>
        </w:tc>
        <w:tc>
          <w:tcPr>
            <w:tcW w:w="992" w:type="dxa"/>
            <w:noWrap/>
            <w:vAlign w:val="bottom"/>
            <w:hideMark/>
          </w:tcPr>
          <w:p w:rsidR="00CB7527" w:rsidRPr="00CB7527" w:rsidRDefault="00CB7527" w:rsidP="00CB7527">
            <w:pPr>
              <w:rPr>
                <w:b/>
              </w:rPr>
            </w:pPr>
            <w:r w:rsidRPr="00CB7527">
              <w:rPr>
                <w:b/>
              </w:rPr>
              <w:t xml:space="preserve">          64.0 </w:t>
            </w:r>
          </w:p>
        </w:tc>
        <w:tc>
          <w:tcPr>
            <w:tcW w:w="992" w:type="dxa"/>
            <w:noWrap/>
            <w:vAlign w:val="bottom"/>
            <w:hideMark/>
          </w:tcPr>
          <w:p w:rsidR="00CB7527" w:rsidRPr="00CB7527" w:rsidRDefault="00CB7527" w:rsidP="00CB7527">
            <w:pPr>
              <w:rPr>
                <w:b/>
              </w:rPr>
            </w:pPr>
            <w:r w:rsidRPr="00CB7527">
              <w:rPr>
                <w:b/>
              </w:rPr>
              <w:t xml:space="preserve">          63.7 </w:t>
            </w:r>
          </w:p>
        </w:tc>
        <w:tc>
          <w:tcPr>
            <w:tcW w:w="993" w:type="dxa"/>
            <w:noWrap/>
            <w:vAlign w:val="bottom"/>
            <w:hideMark/>
          </w:tcPr>
          <w:p w:rsidR="00CB7527" w:rsidRPr="00CB7527" w:rsidRDefault="00CB7527" w:rsidP="00CB7527">
            <w:pPr>
              <w:rPr>
                <w:b/>
              </w:rPr>
            </w:pPr>
            <w:r w:rsidRPr="00CB7527">
              <w:rPr>
                <w:b/>
              </w:rPr>
              <w:t xml:space="preserve">          63.7 </w:t>
            </w:r>
          </w:p>
        </w:tc>
      </w:tr>
      <w:tr w:rsidR="00CB7527" w:rsidRPr="00CB7527" w:rsidTr="003F096F">
        <w:trPr>
          <w:trHeight w:val="305"/>
        </w:trPr>
        <w:tc>
          <w:tcPr>
            <w:tcW w:w="3652" w:type="dxa"/>
            <w:noWrap/>
            <w:vAlign w:val="bottom"/>
            <w:hideMark/>
          </w:tcPr>
          <w:p w:rsidR="00CB7527" w:rsidRPr="00CB7527" w:rsidRDefault="00CB7527" w:rsidP="00CB7527">
            <w:pPr>
              <w:rPr>
                <w:b/>
                <w:bCs/>
              </w:rPr>
            </w:pPr>
            <w:r w:rsidRPr="00CB7527">
              <w:rPr>
                <w:b/>
                <w:bCs/>
              </w:rPr>
              <w:t>Railway Undertaking</w:t>
            </w:r>
          </w:p>
        </w:tc>
        <w:tc>
          <w:tcPr>
            <w:tcW w:w="992" w:type="dxa"/>
            <w:noWrap/>
            <w:vAlign w:val="bottom"/>
            <w:hideMark/>
          </w:tcPr>
          <w:p w:rsidR="00CB7527" w:rsidRPr="00CB7527" w:rsidRDefault="00CB7527" w:rsidP="00CB7527">
            <w:pPr>
              <w:rPr>
                <w:b/>
                <w:bCs/>
              </w:rPr>
            </w:pPr>
          </w:p>
        </w:tc>
        <w:tc>
          <w:tcPr>
            <w:tcW w:w="992" w:type="dxa"/>
            <w:noWrap/>
            <w:vAlign w:val="bottom"/>
            <w:hideMark/>
          </w:tcPr>
          <w:p w:rsidR="00CB7527" w:rsidRPr="00CB7527" w:rsidRDefault="00CB7527" w:rsidP="00CB7527">
            <w:pPr>
              <w:rPr>
                <w:b/>
                <w:bCs/>
              </w:rPr>
            </w:pPr>
          </w:p>
        </w:tc>
        <w:tc>
          <w:tcPr>
            <w:tcW w:w="992" w:type="dxa"/>
            <w:noWrap/>
            <w:vAlign w:val="bottom"/>
            <w:hideMark/>
          </w:tcPr>
          <w:p w:rsidR="00CB7527" w:rsidRPr="00CB7527" w:rsidRDefault="00CB7527" w:rsidP="00CB7527">
            <w:pPr>
              <w:rPr>
                <w:b/>
                <w:bCs/>
              </w:rPr>
            </w:pPr>
          </w:p>
        </w:tc>
        <w:tc>
          <w:tcPr>
            <w:tcW w:w="992" w:type="dxa"/>
            <w:noWrap/>
            <w:vAlign w:val="bottom"/>
            <w:hideMark/>
          </w:tcPr>
          <w:p w:rsidR="00CB7527" w:rsidRPr="00CB7527" w:rsidRDefault="00CB7527" w:rsidP="00CB7527">
            <w:pPr>
              <w:rPr>
                <w:b/>
                <w:bCs/>
              </w:rPr>
            </w:pPr>
          </w:p>
        </w:tc>
        <w:tc>
          <w:tcPr>
            <w:tcW w:w="993" w:type="dxa"/>
            <w:noWrap/>
            <w:vAlign w:val="bottom"/>
            <w:hideMark/>
          </w:tcPr>
          <w:p w:rsidR="00CB7527" w:rsidRPr="00CB7527" w:rsidRDefault="00CB7527" w:rsidP="00CB7527">
            <w:pPr>
              <w:rPr>
                <w:b/>
                <w:bCs/>
              </w:rPr>
            </w:pPr>
            <w:r w:rsidRPr="00CB7527">
              <w:rPr>
                <w:b/>
                <w:bCs/>
              </w:rPr>
              <w:t> </w:t>
            </w:r>
          </w:p>
        </w:tc>
      </w:tr>
      <w:tr w:rsidR="00CB7527" w:rsidRPr="00CB7527" w:rsidTr="003F096F">
        <w:trPr>
          <w:trHeight w:val="305"/>
        </w:trPr>
        <w:tc>
          <w:tcPr>
            <w:tcW w:w="3652" w:type="dxa"/>
            <w:noWrap/>
            <w:vAlign w:val="bottom"/>
            <w:hideMark/>
          </w:tcPr>
          <w:p w:rsidR="00CB7527" w:rsidRPr="00CB7527" w:rsidRDefault="002B5317" w:rsidP="00CB7527">
            <w:r>
              <w:t>Gap between cost of operations and combined revenues from fares and PSO subsidy</w:t>
            </w:r>
          </w:p>
        </w:tc>
        <w:tc>
          <w:tcPr>
            <w:tcW w:w="992" w:type="dxa"/>
            <w:noWrap/>
            <w:vAlign w:val="bottom"/>
            <w:hideMark/>
          </w:tcPr>
          <w:p w:rsidR="00CB7527" w:rsidRPr="00CB7527" w:rsidRDefault="00CB7527" w:rsidP="00CB7527">
            <w:pPr>
              <w:rPr>
                <w:b/>
              </w:rPr>
            </w:pPr>
            <w:r w:rsidRPr="00CB7527">
              <w:rPr>
                <w:b/>
              </w:rPr>
              <w:t xml:space="preserve">          38.7 </w:t>
            </w:r>
          </w:p>
        </w:tc>
        <w:tc>
          <w:tcPr>
            <w:tcW w:w="992" w:type="dxa"/>
            <w:noWrap/>
            <w:vAlign w:val="bottom"/>
            <w:hideMark/>
          </w:tcPr>
          <w:p w:rsidR="00CB7527" w:rsidRPr="00CB7527" w:rsidRDefault="00CB7527" w:rsidP="00CB7527">
            <w:pPr>
              <w:rPr>
                <w:b/>
              </w:rPr>
            </w:pPr>
            <w:r w:rsidRPr="00CB7527">
              <w:rPr>
                <w:b/>
              </w:rPr>
              <w:t xml:space="preserve">          27.2 </w:t>
            </w:r>
          </w:p>
        </w:tc>
        <w:tc>
          <w:tcPr>
            <w:tcW w:w="992" w:type="dxa"/>
            <w:noWrap/>
            <w:vAlign w:val="bottom"/>
            <w:hideMark/>
          </w:tcPr>
          <w:p w:rsidR="00CB7527" w:rsidRPr="00CB7527" w:rsidRDefault="00CB7527" w:rsidP="00CB7527">
            <w:pPr>
              <w:rPr>
                <w:b/>
              </w:rPr>
            </w:pPr>
            <w:r w:rsidRPr="00CB7527">
              <w:rPr>
                <w:b/>
              </w:rPr>
              <w:t xml:space="preserve">          21.7 </w:t>
            </w:r>
          </w:p>
        </w:tc>
        <w:tc>
          <w:tcPr>
            <w:tcW w:w="992" w:type="dxa"/>
            <w:noWrap/>
            <w:vAlign w:val="bottom"/>
            <w:hideMark/>
          </w:tcPr>
          <w:p w:rsidR="00CB7527" w:rsidRPr="00CB7527" w:rsidRDefault="00CB7527" w:rsidP="00CB7527">
            <w:pPr>
              <w:rPr>
                <w:b/>
              </w:rPr>
            </w:pPr>
            <w:r w:rsidRPr="00CB7527">
              <w:rPr>
                <w:b/>
              </w:rPr>
              <w:t xml:space="preserve">          13.7 </w:t>
            </w:r>
          </w:p>
        </w:tc>
        <w:tc>
          <w:tcPr>
            <w:tcW w:w="993" w:type="dxa"/>
            <w:noWrap/>
            <w:vAlign w:val="bottom"/>
            <w:hideMark/>
          </w:tcPr>
          <w:p w:rsidR="00CB7527" w:rsidRPr="00CB7527" w:rsidRDefault="00CB7527" w:rsidP="00CB7527">
            <w:pPr>
              <w:rPr>
                <w:b/>
              </w:rPr>
            </w:pPr>
            <w:r w:rsidRPr="00CB7527">
              <w:rPr>
                <w:b/>
              </w:rPr>
              <w:t xml:space="preserve">            8.2 </w:t>
            </w:r>
          </w:p>
        </w:tc>
      </w:tr>
      <w:tr w:rsidR="00CB7527" w:rsidRPr="00CB7527" w:rsidTr="003F096F">
        <w:trPr>
          <w:trHeight w:val="286"/>
        </w:trPr>
        <w:tc>
          <w:tcPr>
            <w:tcW w:w="3652" w:type="dxa"/>
            <w:noWrap/>
            <w:vAlign w:val="bottom"/>
            <w:hideMark/>
          </w:tcPr>
          <w:p w:rsidR="00CB7527" w:rsidRPr="00CB7527" w:rsidRDefault="00CB7527" w:rsidP="00CB7527">
            <w:pPr>
              <w:rPr>
                <w:b/>
                <w:bCs/>
              </w:rPr>
            </w:pPr>
            <w:r w:rsidRPr="00CB7527">
              <w:rPr>
                <w:b/>
                <w:bCs/>
              </w:rPr>
              <w:t>Unfunded Capital</w:t>
            </w:r>
          </w:p>
        </w:tc>
        <w:tc>
          <w:tcPr>
            <w:tcW w:w="992" w:type="dxa"/>
            <w:noWrap/>
            <w:vAlign w:val="bottom"/>
            <w:hideMark/>
          </w:tcPr>
          <w:p w:rsidR="00CB7527" w:rsidRPr="00CB7527" w:rsidRDefault="00CB7527" w:rsidP="00CB7527">
            <w:pPr>
              <w:rPr>
                <w:b/>
              </w:rPr>
            </w:pPr>
          </w:p>
        </w:tc>
        <w:tc>
          <w:tcPr>
            <w:tcW w:w="992" w:type="dxa"/>
            <w:noWrap/>
            <w:vAlign w:val="bottom"/>
            <w:hideMark/>
          </w:tcPr>
          <w:p w:rsidR="00CB7527" w:rsidRPr="00CB7527" w:rsidRDefault="00CB7527" w:rsidP="00CB7527">
            <w:pPr>
              <w:rPr>
                <w:b/>
              </w:rPr>
            </w:pPr>
          </w:p>
        </w:tc>
        <w:tc>
          <w:tcPr>
            <w:tcW w:w="992" w:type="dxa"/>
            <w:noWrap/>
            <w:vAlign w:val="bottom"/>
            <w:hideMark/>
          </w:tcPr>
          <w:p w:rsidR="00CB7527" w:rsidRPr="00CB7527" w:rsidRDefault="00CB7527" w:rsidP="00CB7527">
            <w:pPr>
              <w:rPr>
                <w:b/>
              </w:rPr>
            </w:pPr>
          </w:p>
        </w:tc>
        <w:tc>
          <w:tcPr>
            <w:tcW w:w="992" w:type="dxa"/>
            <w:noWrap/>
            <w:vAlign w:val="bottom"/>
            <w:hideMark/>
          </w:tcPr>
          <w:p w:rsidR="00CB7527" w:rsidRPr="00CB7527" w:rsidRDefault="00CB7527" w:rsidP="00CB7527">
            <w:pPr>
              <w:rPr>
                <w:b/>
              </w:rPr>
            </w:pPr>
          </w:p>
        </w:tc>
        <w:tc>
          <w:tcPr>
            <w:tcW w:w="993" w:type="dxa"/>
            <w:noWrap/>
            <w:vAlign w:val="bottom"/>
            <w:hideMark/>
          </w:tcPr>
          <w:p w:rsidR="00CB7527" w:rsidRPr="00CB7527" w:rsidRDefault="00CB7527" w:rsidP="00CB7527">
            <w:pPr>
              <w:rPr>
                <w:b/>
              </w:rPr>
            </w:pPr>
            <w:r w:rsidRPr="00CB7527">
              <w:rPr>
                <w:b/>
              </w:rPr>
              <w:t> </w:t>
            </w:r>
          </w:p>
        </w:tc>
      </w:tr>
      <w:tr w:rsidR="00CB7527" w:rsidRPr="00CB7527" w:rsidTr="003F096F">
        <w:trPr>
          <w:trHeight w:val="286"/>
        </w:trPr>
        <w:tc>
          <w:tcPr>
            <w:tcW w:w="3652" w:type="dxa"/>
            <w:noWrap/>
            <w:vAlign w:val="bottom"/>
            <w:hideMark/>
          </w:tcPr>
          <w:p w:rsidR="00CB7527" w:rsidRPr="00CB7527" w:rsidRDefault="00CB7527" w:rsidP="00CB7527">
            <w:r w:rsidRPr="00CB7527">
              <w:t>Urgent Growth Measures (</w:t>
            </w:r>
            <w:r w:rsidR="002B5317">
              <w:t xml:space="preserve">Additional </w:t>
            </w:r>
            <w:r w:rsidRPr="00CB7527">
              <w:t>Fleet)</w:t>
            </w:r>
          </w:p>
        </w:tc>
        <w:tc>
          <w:tcPr>
            <w:tcW w:w="992" w:type="dxa"/>
            <w:noWrap/>
            <w:vAlign w:val="bottom"/>
            <w:hideMark/>
          </w:tcPr>
          <w:p w:rsidR="00CB7527" w:rsidRPr="00CB7527" w:rsidRDefault="00CB7527" w:rsidP="00CB7527">
            <w:pPr>
              <w:rPr>
                <w:b/>
              </w:rPr>
            </w:pPr>
            <w:r w:rsidRPr="00CB7527">
              <w:rPr>
                <w:b/>
              </w:rPr>
              <w:t xml:space="preserve">               -   </w:t>
            </w:r>
          </w:p>
        </w:tc>
        <w:tc>
          <w:tcPr>
            <w:tcW w:w="992" w:type="dxa"/>
            <w:noWrap/>
            <w:vAlign w:val="bottom"/>
            <w:hideMark/>
          </w:tcPr>
          <w:p w:rsidR="00CB7527" w:rsidRPr="00CB7527" w:rsidRDefault="00CB7527" w:rsidP="00CB7527">
            <w:pPr>
              <w:rPr>
                <w:b/>
              </w:rPr>
            </w:pPr>
            <w:r w:rsidRPr="00CB7527">
              <w:rPr>
                <w:b/>
              </w:rPr>
              <w:t xml:space="preserve">          25.4 </w:t>
            </w:r>
          </w:p>
        </w:tc>
        <w:tc>
          <w:tcPr>
            <w:tcW w:w="992" w:type="dxa"/>
            <w:noWrap/>
            <w:vAlign w:val="bottom"/>
            <w:hideMark/>
          </w:tcPr>
          <w:p w:rsidR="00CB7527" w:rsidRPr="00CB7527" w:rsidRDefault="00CB7527" w:rsidP="00CB7527">
            <w:pPr>
              <w:rPr>
                <w:b/>
              </w:rPr>
            </w:pPr>
            <w:r w:rsidRPr="00CB7527">
              <w:rPr>
                <w:b/>
              </w:rPr>
              <w:t xml:space="preserve">          27.4 </w:t>
            </w:r>
          </w:p>
        </w:tc>
        <w:tc>
          <w:tcPr>
            <w:tcW w:w="992" w:type="dxa"/>
            <w:noWrap/>
            <w:vAlign w:val="bottom"/>
            <w:hideMark/>
          </w:tcPr>
          <w:p w:rsidR="00CB7527" w:rsidRPr="00CB7527" w:rsidRDefault="00CB7527" w:rsidP="00CB7527">
            <w:pPr>
              <w:rPr>
                <w:b/>
              </w:rPr>
            </w:pPr>
            <w:r w:rsidRPr="00CB7527">
              <w:rPr>
                <w:b/>
              </w:rPr>
              <w:t xml:space="preserve">          16.0 </w:t>
            </w:r>
          </w:p>
        </w:tc>
        <w:tc>
          <w:tcPr>
            <w:tcW w:w="993" w:type="dxa"/>
            <w:noWrap/>
            <w:vAlign w:val="bottom"/>
            <w:hideMark/>
          </w:tcPr>
          <w:p w:rsidR="00CB7527" w:rsidRPr="00CB7527" w:rsidRDefault="00CB7527" w:rsidP="00CB7527">
            <w:pPr>
              <w:rPr>
                <w:b/>
              </w:rPr>
            </w:pPr>
            <w:r w:rsidRPr="00CB7527">
              <w:rPr>
                <w:b/>
              </w:rPr>
              <w:t xml:space="preserve">          18.7 </w:t>
            </w:r>
          </w:p>
        </w:tc>
      </w:tr>
      <w:tr w:rsidR="00CB7527" w:rsidRPr="00CB7527" w:rsidTr="00CB7527">
        <w:trPr>
          <w:trHeight w:val="286"/>
        </w:trPr>
        <w:tc>
          <w:tcPr>
            <w:tcW w:w="3652" w:type="dxa"/>
            <w:shd w:val="clear" w:color="auto" w:fill="B8CCE4" w:themeFill="accent1" w:themeFillTint="66"/>
            <w:noWrap/>
            <w:vAlign w:val="bottom"/>
            <w:hideMark/>
          </w:tcPr>
          <w:p w:rsidR="00CB7527" w:rsidRPr="00CB7527" w:rsidRDefault="00CB7527" w:rsidP="00CB7527">
            <w:pPr>
              <w:rPr>
                <w:b/>
                <w:bCs/>
              </w:rPr>
            </w:pPr>
            <w:r w:rsidRPr="00CB7527">
              <w:rPr>
                <w:b/>
                <w:bCs/>
              </w:rPr>
              <w:t>Total Additional Funding</w:t>
            </w:r>
          </w:p>
        </w:tc>
        <w:tc>
          <w:tcPr>
            <w:tcW w:w="992" w:type="dxa"/>
            <w:shd w:val="clear" w:color="auto" w:fill="B8CCE4" w:themeFill="accent1" w:themeFillTint="66"/>
            <w:noWrap/>
            <w:vAlign w:val="bottom"/>
            <w:hideMark/>
          </w:tcPr>
          <w:p w:rsidR="00CB7527" w:rsidRPr="00CB7527" w:rsidRDefault="00CB7527" w:rsidP="00CB7527">
            <w:pPr>
              <w:rPr>
                <w:b/>
                <w:bCs/>
              </w:rPr>
            </w:pPr>
            <w:r w:rsidRPr="00CB7527">
              <w:rPr>
                <w:b/>
                <w:bCs/>
              </w:rPr>
              <w:t xml:space="preserve">       102.9 </w:t>
            </w:r>
          </w:p>
        </w:tc>
        <w:tc>
          <w:tcPr>
            <w:tcW w:w="992" w:type="dxa"/>
            <w:shd w:val="clear" w:color="auto" w:fill="B8CCE4" w:themeFill="accent1" w:themeFillTint="66"/>
            <w:noWrap/>
            <w:vAlign w:val="bottom"/>
            <w:hideMark/>
          </w:tcPr>
          <w:p w:rsidR="00CB7527" w:rsidRPr="00CB7527" w:rsidRDefault="00CB7527" w:rsidP="00CB7527">
            <w:pPr>
              <w:rPr>
                <w:b/>
                <w:bCs/>
              </w:rPr>
            </w:pPr>
            <w:r w:rsidRPr="00CB7527">
              <w:rPr>
                <w:b/>
                <w:bCs/>
              </w:rPr>
              <w:t xml:space="preserve">       116.7 </w:t>
            </w:r>
          </w:p>
        </w:tc>
        <w:tc>
          <w:tcPr>
            <w:tcW w:w="992" w:type="dxa"/>
            <w:shd w:val="clear" w:color="auto" w:fill="B8CCE4" w:themeFill="accent1" w:themeFillTint="66"/>
            <w:noWrap/>
            <w:vAlign w:val="bottom"/>
            <w:hideMark/>
          </w:tcPr>
          <w:p w:rsidR="00CB7527" w:rsidRPr="00CB7527" w:rsidRDefault="00CB7527" w:rsidP="00CB7527">
            <w:pPr>
              <w:rPr>
                <w:b/>
                <w:bCs/>
              </w:rPr>
            </w:pPr>
            <w:r w:rsidRPr="00CB7527">
              <w:rPr>
                <w:b/>
                <w:bCs/>
              </w:rPr>
              <w:t xml:space="preserve">       113.1 </w:t>
            </w:r>
          </w:p>
        </w:tc>
        <w:tc>
          <w:tcPr>
            <w:tcW w:w="992" w:type="dxa"/>
            <w:shd w:val="clear" w:color="auto" w:fill="B8CCE4" w:themeFill="accent1" w:themeFillTint="66"/>
            <w:noWrap/>
            <w:vAlign w:val="bottom"/>
            <w:hideMark/>
          </w:tcPr>
          <w:p w:rsidR="00CB7527" w:rsidRPr="00CB7527" w:rsidRDefault="00CB7527" w:rsidP="00CB7527">
            <w:pPr>
              <w:rPr>
                <w:b/>
                <w:bCs/>
              </w:rPr>
            </w:pPr>
            <w:r w:rsidRPr="00CB7527">
              <w:rPr>
                <w:b/>
                <w:bCs/>
              </w:rPr>
              <w:t xml:space="preserve">          93.4 </w:t>
            </w:r>
          </w:p>
        </w:tc>
        <w:tc>
          <w:tcPr>
            <w:tcW w:w="993" w:type="dxa"/>
            <w:shd w:val="clear" w:color="auto" w:fill="B8CCE4" w:themeFill="accent1" w:themeFillTint="66"/>
            <w:noWrap/>
            <w:vAlign w:val="bottom"/>
            <w:hideMark/>
          </w:tcPr>
          <w:p w:rsidR="00CB7527" w:rsidRPr="00CB7527" w:rsidRDefault="00CB7527" w:rsidP="00CB7527">
            <w:pPr>
              <w:rPr>
                <w:b/>
                <w:bCs/>
              </w:rPr>
            </w:pPr>
            <w:r w:rsidRPr="00CB7527">
              <w:rPr>
                <w:b/>
                <w:bCs/>
              </w:rPr>
              <w:t xml:space="preserve">          90.6 </w:t>
            </w:r>
          </w:p>
        </w:tc>
      </w:tr>
      <w:tr w:rsidR="002B5317" w:rsidRPr="00CB7527" w:rsidTr="002B5317">
        <w:trPr>
          <w:trHeight w:val="286"/>
        </w:trPr>
        <w:tc>
          <w:tcPr>
            <w:tcW w:w="3652" w:type="dxa"/>
            <w:shd w:val="clear" w:color="auto" w:fill="B8CCE4" w:themeFill="accent1" w:themeFillTint="66"/>
            <w:noWrap/>
            <w:vAlign w:val="bottom"/>
          </w:tcPr>
          <w:p w:rsidR="002B5317" w:rsidRPr="00CB7527" w:rsidRDefault="002B5317" w:rsidP="00CB7527">
            <w:pPr>
              <w:rPr>
                <w:b/>
                <w:bCs/>
              </w:rPr>
            </w:pPr>
            <w:r>
              <w:rPr>
                <w:b/>
                <w:bCs/>
              </w:rPr>
              <w:t>Average Estimated Funding Gap</w:t>
            </w:r>
          </w:p>
        </w:tc>
        <w:tc>
          <w:tcPr>
            <w:tcW w:w="4961" w:type="dxa"/>
            <w:gridSpan w:val="5"/>
            <w:shd w:val="clear" w:color="auto" w:fill="B8CCE4" w:themeFill="accent1" w:themeFillTint="66"/>
            <w:noWrap/>
            <w:vAlign w:val="center"/>
          </w:tcPr>
          <w:p w:rsidR="002B5317" w:rsidRPr="00CB7527" w:rsidRDefault="002B5317" w:rsidP="002B5317">
            <w:pPr>
              <w:jc w:val="center"/>
              <w:rPr>
                <w:b/>
                <w:bCs/>
              </w:rPr>
            </w:pPr>
            <w:r>
              <w:rPr>
                <w:b/>
                <w:bCs/>
              </w:rPr>
              <w:t>€103m per annum</w:t>
            </w:r>
          </w:p>
        </w:tc>
      </w:tr>
    </w:tbl>
    <w:p w:rsidR="00CB7527" w:rsidRDefault="00CB7527" w:rsidP="00F3789D">
      <w:pPr>
        <w:jc w:val="both"/>
        <w:rPr>
          <w:b/>
        </w:rPr>
      </w:pPr>
      <w:r>
        <w:rPr>
          <w:b/>
        </w:rPr>
        <w:fldChar w:fldCharType="end"/>
      </w:r>
    </w:p>
    <w:p w:rsidR="003737B0" w:rsidRPr="00B32D7E" w:rsidRDefault="003737B0" w:rsidP="00F3789D">
      <w:pPr>
        <w:jc w:val="both"/>
        <w:rPr>
          <w:b/>
        </w:rPr>
      </w:pPr>
    </w:p>
    <w:p w:rsidR="00F3789D" w:rsidRPr="00B32D7E" w:rsidRDefault="00974CC1" w:rsidP="00F3789D">
      <w:pPr>
        <w:pStyle w:val="Heading2"/>
      </w:pPr>
      <w:r w:rsidRPr="00B32D7E">
        <w:t>4</w:t>
      </w:r>
      <w:r w:rsidR="00F3789D" w:rsidRPr="00B32D7E">
        <w:t>.</w:t>
      </w:r>
      <w:r w:rsidR="00E852E3">
        <w:t>3</w:t>
      </w:r>
      <w:r w:rsidR="00F3789D" w:rsidRPr="00B32D7E">
        <w:tab/>
        <w:t>Funding gap</w:t>
      </w:r>
    </w:p>
    <w:p w:rsidR="00F3789D" w:rsidRPr="00B32D7E" w:rsidRDefault="00F3789D" w:rsidP="00F3789D">
      <w:pPr>
        <w:jc w:val="both"/>
      </w:pPr>
      <w:r w:rsidRPr="00B32D7E">
        <w:t>In the six years to 2014</w:t>
      </w:r>
      <w:r w:rsidR="004D43BE">
        <w:t>,</w:t>
      </w:r>
      <w:r w:rsidRPr="00B32D7E">
        <w:t xml:space="preserve"> </w:t>
      </w:r>
      <w:proofErr w:type="spellStart"/>
      <w:r w:rsidRPr="00B32D7E">
        <w:t>Iarnród</w:t>
      </w:r>
      <w:proofErr w:type="spellEnd"/>
      <w:r w:rsidRPr="00B32D7E">
        <w:t xml:space="preserve"> </w:t>
      </w:r>
      <w:proofErr w:type="spellStart"/>
      <w:proofErr w:type="gramStart"/>
      <w:r w:rsidRPr="00B32D7E">
        <w:t>Éireann</w:t>
      </w:r>
      <w:proofErr w:type="spellEnd"/>
      <w:r w:rsidRPr="00B32D7E">
        <w:t xml:space="preserve">  reduced</w:t>
      </w:r>
      <w:proofErr w:type="gramEnd"/>
      <w:r w:rsidRPr="00B32D7E">
        <w:t xml:space="preserve"> its cost base by €73m (17.3%) and its workforce by 1,073 (22%).  In the same time period services were maintained and in some instances enhanced and network size expanded with new line openings, driving an improved efficiency factor year on year.  </w:t>
      </w:r>
      <w:r w:rsidR="00E54A7D">
        <w:t xml:space="preserve"> Over the same period, there was </w:t>
      </w:r>
      <w:r w:rsidRPr="00B32D7E">
        <w:t>a reduction on PSO funding by €74m (39%).      </w:t>
      </w:r>
    </w:p>
    <w:p w:rsidR="00F3789D" w:rsidRPr="00B32D7E" w:rsidRDefault="00E54A7D" w:rsidP="00F3789D">
      <w:pPr>
        <w:jc w:val="both"/>
      </w:pPr>
      <w:r>
        <w:t>For the future, m</w:t>
      </w:r>
      <w:r w:rsidR="00F3789D" w:rsidRPr="00B32D7E">
        <w:t xml:space="preserve">easures set out in </w:t>
      </w:r>
      <w:r w:rsidR="00507510">
        <w:t xml:space="preserve">the Rail </w:t>
      </w:r>
      <w:r>
        <w:t>R</w:t>
      </w:r>
      <w:r w:rsidR="00507510">
        <w:t>eview</w:t>
      </w:r>
      <w:r w:rsidR="00F3789D" w:rsidRPr="00B32D7E">
        <w:t xml:space="preserve"> (DART re-launch and better service matching) </w:t>
      </w:r>
      <w:r>
        <w:t>should</w:t>
      </w:r>
      <w:r w:rsidR="00F3789D" w:rsidRPr="00B32D7E">
        <w:t xml:space="preserve"> contribute </w:t>
      </w:r>
      <w:r w:rsidR="00427747">
        <w:t>additional revenue per annum</w:t>
      </w:r>
      <w:r w:rsidR="00F3789D" w:rsidRPr="00B32D7E">
        <w:t xml:space="preserve">. </w:t>
      </w:r>
      <w:r>
        <w:t xml:space="preserve"> </w:t>
      </w:r>
      <w:r w:rsidR="00F3789D" w:rsidRPr="00B32D7E">
        <w:t xml:space="preserve">Iarnród Éireann is targeting further savings from </w:t>
      </w:r>
      <w:r w:rsidR="00427747" w:rsidRPr="00B32D7E">
        <w:t>201</w:t>
      </w:r>
      <w:r w:rsidR="00427747">
        <w:t>7</w:t>
      </w:r>
      <w:r w:rsidR="00427747" w:rsidRPr="00B32D7E">
        <w:t xml:space="preserve"> </w:t>
      </w:r>
      <w:r w:rsidR="00F3789D" w:rsidRPr="00B32D7E">
        <w:t xml:space="preserve">onwards through further general efficiencies. These together would not, however, be sufficient to bridge the funding gap, contributing only </w:t>
      </w:r>
      <w:r w:rsidR="00427747">
        <w:t>a small proportion</w:t>
      </w:r>
      <w:r w:rsidR="00F3789D" w:rsidRPr="00B32D7E">
        <w:t xml:space="preserve"> of the required €103m.</w:t>
      </w:r>
    </w:p>
    <w:p w:rsidR="00F3789D" w:rsidRPr="00B32D7E" w:rsidRDefault="00F3789D" w:rsidP="00F3789D">
      <w:pPr>
        <w:jc w:val="both"/>
        <w:rPr>
          <w:lang w:eastAsia="en-IE"/>
        </w:rPr>
      </w:pPr>
      <w:r w:rsidRPr="00B32D7E">
        <w:rPr>
          <w:bCs/>
          <w:lang w:eastAsia="en-IE"/>
        </w:rPr>
        <w:t>If Exchequer grants had to be increased to eliminate the funding gap t</w:t>
      </w:r>
      <w:r w:rsidRPr="00B32D7E">
        <w:rPr>
          <w:lang w:eastAsia="en-IE"/>
        </w:rPr>
        <w:t xml:space="preserve">his would require Government to provide an additional €103m to ensure solvency and adequately maintain the assets. </w:t>
      </w:r>
    </w:p>
    <w:p w:rsidR="00F3789D" w:rsidRPr="00B32D7E" w:rsidRDefault="00974CC1" w:rsidP="00F3789D">
      <w:pPr>
        <w:pStyle w:val="Heading2"/>
      </w:pPr>
      <w:r w:rsidRPr="00B32D7E">
        <w:t>4</w:t>
      </w:r>
      <w:r w:rsidR="00F3789D" w:rsidRPr="00B32D7E">
        <w:t>.</w:t>
      </w:r>
      <w:r w:rsidR="00E852E3">
        <w:t>4</w:t>
      </w:r>
      <w:r w:rsidR="00F3789D" w:rsidRPr="00B32D7E">
        <w:tab/>
        <w:t>Budget 2017</w:t>
      </w:r>
    </w:p>
    <w:p w:rsidR="00F3789D" w:rsidRPr="00B32D7E" w:rsidRDefault="00F3789D" w:rsidP="00F3789D">
      <w:pPr>
        <w:jc w:val="both"/>
        <w:rPr>
          <w:lang w:eastAsia="en-IE"/>
        </w:rPr>
      </w:pPr>
      <w:r w:rsidRPr="00B32D7E">
        <w:rPr>
          <w:lang w:eastAsia="en-IE"/>
        </w:rPr>
        <w:t xml:space="preserve">Since the 2016 Rail Review was completed, the </w:t>
      </w:r>
      <w:r w:rsidR="00A634C4">
        <w:rPr>
          <w:lang w:eastAsia="en-IE"/>
        </w:rPr>
        <w:t>G</w:t>
      </w:r>
      <w:r w:rsidRPr="00B32D7E">
        <w:rPr>
          <w:lang w:eastAsia="en-IE"/>
        </w:rPr>
        <w:t>overnment has published the budget for 2017 expenditure. Additional funding has been</w:t>
      </w:r>
      <w:r w:rsidR="00CF2C25">
        <w:rPr>
          <w:lang w:eastAsia="en-IE"/>
        </w:rPr>
        <w:t xml:space="preserve"> allocated</w:t>
      </w:r>
      <w:r w:rsidRPr="00B32D7E">
        <w:rPr>
          <w:lang w:eastAsia="en-IE"/>
        </w:rPr>
        <w:t xml:space="preserve"> by the </w:t>
      </w:r>
      <w:r w:rsidR="00A634C4">
        <w:rPr>
          <w:lang w:eastAsia="en-IE"/>
        </w:rPr>
        <w:t>G</w:t>
      </w:r>
      <w:r w:rsidRPr="00B32D7E">
        <w:rPr>
          <w:lang w:eastAsia="en-IE"/>
        </w:rPr>
        <w:t xml:space="preserve">overnment in terms of PSO subvention </w:t>
      </w:r>
      <w:r w:rsidRPr="00B32D7E">
        <w:rPr>
          <w:lang w:eastAsia="en-IE"/>
        </w:rPr>
        <w:lastRenderedPageBreak/>
        <w:t>and capital funding</w:t>
      </w:r>
      <w:r w:rsidR="00CF2C25">
        <w:rPr>
          <w:lang w:eastAsia="en-IE"/>
        </w:rPr>
        <w:t xml:space="preserve"> for heavy rail</w:t>
      </w:r>
      <w:r w:rsidRPr="00B32D7E">
        <w:rPr>
          <w:lang w:eastAsia="en-IE"/>
        </w:rPr>
        <w:t xml:space="preserve">. Therefore the NTA should be in a position to meet most of the Railway Undertaking requirements in 2017 including funding the Fleet Heavy Maintenance. </w:t>
      </w:r>
    </w:p>
    <w:p w:rsidR="00F3789D" w:rsidRPr="00B32D7E" w:rsidRDefault="00F3789D" w:rsidP="005A333C">
      <w:pPr>
        <w:jc w:val="both"/>
        <w:rPr>
          <w:lang w:eastAsia="en-IE"/>
        </w:rPr>
      </w:pPr>
      <w:r w:rsidRPr="00B32D7E">
        <w:rPr>
          <w:lang w:eastAsia="en-IE"/>
        </w:rPr>
        <w:t>An addition</w:t>
      </w:r>
      <w:r w:rsidR="00CF2C25">
        <w:rPr>
          <w:lang w:eastAsia="en-IE"/>
        </w:rPr>
        <w:t>al</w:t>
      </w:r>
      <w:r w:rsidRPr="00B32D7E">
        <w:rPr>
          <w:lang w:eastAsia="en-IE"/>
        </w:rPr>
        <w:t xml:space="preserve"> </w:t>
      </w:r>
      <w:r w:rsidR="008F7773">
        <w:rPr>
          <w:lang w:eastAsia="en-IE"/>
        </w:rPr>
        <w:t>amount</w:t>
      </w:r>
      <w:r w:rsidRPr="00B32D7E">
        <w:rPr>
          <w:lang w:eastAsia="en-IE"/>
        </w:rPr>
        <w:t xml:space="preserve"> is also being made available by the Department for the MAC contract </w:t>
      </w:r>
      <w:r w:rsidR="00A634C4" w:rsidRPr="005A333C">
        <w:t>which will allow for increased investment in maintenance and renewal of the network and additional funding for safety projects.</w:t>
      </w:r>
    </w:p>
    <w:p w:rsidR="00F3789D" w:rsidRPr="00B32D7E" w:rsidRDefault="00F3789D" w:rsidP="006C76BC">
      <w:pPr>
        <w:jc w:val="both"/>
        <w:rPr>
          <w:lang w:eastAsia="en-IE"/>
        </w:rPr>
      </w:pPr>
      <w:r w:rsidRPr="00B32D7E">
        <w:rPr>
          <w:lang w:eastAsia="en-IE"/>
        </w:rPr>
        <w:t xml:space="preserve">Therefore the overall gap in funding for Iarnród Éireann has been reduced by approximately €50m in 2017. </w:t>
      </w:r>
      <w:r w:rsidR="00D374A6">
        <w:rPr>
          <w:lang w:eastAsia="en-IE"/>
        </w:rPr>
        <w:t>F</w:t>
      </w:r>
      <w:r w:rsidRPr="00B32D7E">
        <w:rPr>
          <w:lang w:eastAsia="en-IE"/>
        </w:rPr>
        <w:t xml:space="preserve">unding for 2018 onwards </w:t>
      </w:r>
      <w:r w:rsidR="00F70D08">
        <w:rPr>
          <w:lang w:eastAsia="en-IE"/>
        </w:rPr>
        <w:t xml:space="preserve">will be considered in 2017 in the context of the Government’s </w:t>
      </w:r>
      <w:r w:rsidR="00E54A7D">
        <w:rPr>
          <w:lang w:eastAsia="en-IE"/>
        </w:rPr>
        <w:t xml:space="preserve">forthcoming </w:t>
      </w:r>
      <w:r w:rsidR="00F70D08">
        <w:rPr>
          <w:lang w:eastAsia="en-IE"/>
        </w:rPr>
        <w:t>reviews of both current and capital expenditure</w:t>
      </w:r>
      <w:r w:rsidR="004F1AC6">
        <w:rPr>
          <w:lang w:eastAsia="en-IE"/>
        </w:rPr>
        <w:t xml:space="preserve">. </w:t>
      </w:r>
    </w:p>
    <w:bookmarkEnd w:id="10"/>
    <w:p w:rsidR="00780E94" w:rsidRPr="00B32D7E" w:rsidRDefault="00780E94" w:rsidP="00780E94">
      <w:pPr>
        <w:pStyle w:val="Heading1"/>
      </w:pPr>
      <w:r w:rsidRPr="00B32D7E">
        <w:t xml:space="preserve">Conclusion  </w:t>
      </w:r>
    </w:p>
    <w:p w:rsidR="001F2CB9" w:rsidRPr="00B32D7E" w:rsidRDefault="00E4447F" w:rsidP="00E32814">
      <w:pPr>
        <w:jc w:val="both"/>
        <w:rPr>
          <w:lang w:eastAsia="en-IE"/>
        </w:rPr>
      </w:pPr>
      <w:r w:rsidRPr="00B32D7E">
        <w:t>E</w:t>
      </w:r>
      <w:r w:rsidR="00557980" w:rsidRPr="00B32D7E">
        <w:t xml:space="preserve">xtra Government funding </w:t>
      </w:r>
      <w:r w:rsidR="00575CB7">
        <w:t xml:space="preserve">averaging over </w:t>
      </w:r>
      <w:r w:rsidR="00557980" w:rsidRPr="00B32D7E">
        <w:t>€</w:t>
      </w:r>
      <w:r w:rsidR="00AF5E03" w:rsidRPr="00B32D7E">
        <w:t>10</w:t>
      </w:r>
      <w:r w:rsidR="00575CB7">
        <w:t>0</w:t>
      </w:r>
      <w:r w:rsidR="00AF5E03" w:rsidRPr="00B32D7E">
        <w:t>m</w:t>
      </w:r>
      <w:r w:rsidR="00557980" w:rsidRPr="00B32D7E">
        <w:t xml:space="preserve"> per annum would </w:t>
      </w:r>
      <w:r w:rsidR="001F2CB9" w:rsidRPr="00B32D7E">
        <w:t xml:space="preserve">be required to </w:t>
      </w:r>
      <w:r w:rsidR="00557980" w:rsidRPr="00B32D7E">
        <w:t>remedy th</w:t>
      </w:r>
      <w:r w:rsidR="001F2CB9" w:rsidRPr="00B32D7E">
        <w:t xml:space="preserve">e overall financial </w:t>
      </w:r>
      <w:r w:rsidR="00557980" w:rsidRPr="00B32D7E">
        <w:t xml:space="preserve">shortfall but such monies could be also valuably deployed elsewhere in the public transport system. </w:t>
      </w:r>
      <w:r w:rsidR="001F2CB9" w:rsidRPr="00B32D7E">
        <w:rPr>
          <w:lang w:eastAsia="en-IE"/>
        </w:rPr>
        <w:t xml:space="preserve">This would be equivalent to the combined annual subsidy funding to Dublin Bus and Bus Éireann who together carry 4 times more passengers than </w:t>
      </w:r>
      <w:proofErr w:type="spellStart"/>
      <w:r w:rsidR="001F2CB9" w:rsidRPr="00B32D7E">
        <w:t>Iarnród</w:t>
      </w:r>
      <w:proofErr w:type="spellEnd"/>
      <w:r w:rsidR="001F2CB9" w:rsidRPr="00B32D7E">
        <w:t xml:space="preserve"> </w:t>
      </w:r>
      <w:proofErr w:type="spellStart"/>
      <w:r w:rsidR="001F2CB9" w:rsidRPr="00B32D7E">
        <w:t>Éireann</w:t>
      </w:r>
      <w:proofErr w:type="spellEnd"/>
      <w:r w:rsidR="001F2CB9" w:rsidRPr="00B32D7E">
        <w:t>.</w:t>
      </w:r>
    </w:p>
    <w:p w:rsidR="00CA3916" w:rsidRPr="00B32D7E" w:rsidRDefault="00557980" w:rsidP="00E32814">
      <w:pPr>
        <w:spacing w:after="120"/>
        <w:jc w:val="both"/>
        <w:rPr>
          <w:rFonts w:ascii="Calibri" w:eastAsia="Times New Roman" w:hAnsi="Calibri" w:cs="Arial"/>
          <w:lang w:val="en-GB"/>
        </w:rPr>
      </w:pPr>
      <w:r w:rsidRPr="00B32D7E">
        <w:t>Therefore it is appropriate to consider what the optimal rail network is, in terms of national transport needs and value for money.</w:t>
      </w:r>
      <w:r w:rsidR="001F2CB9" w:rsidRPr="00B32D7E">
        <w:t xml:space="preserve"> The biggest component of the funding gap is related to the need to maintain the 1660km of infrastructure in a satisfactory and safe condition</w:t>
      </w:r>
      <w:r w:rsidR="00CF2C25">
        <w:t xml:space="preserve">, i.e. at </w:t>
      </w:r>
      <w:r w:rsidR="000B276D">
        <w:t>“</w:t>
      </w:r>
      <w:r w:rsidR="00CF2C25">
        <w:t>steady state</w:t>
      </w:r>
      <w:r w:rsidR="000B276D">
        <w:t>”</w:t>
      </w:r>
      <w:r w:rsidR="00CF2C25">
        <w:t xml:space="preserve"> levels</w:t>
      </w:r>
      <w:r w:rsidR="001F2CB9" w:rsidRPr="00B32D7E">
        <w:t xml:space="preserve">. </w:t>
      </w:r>
      <w:r w:rsidR="00E80006" w:rsidRPr="00B32D7E">
        <w:t xml:space="preserve">Rail is different to public bus in that </w:t>
      </w:r>
      <w:r w:rsidR="000B276D">
        <w:t xml:space="preserve">considerable </w:t>
      </w:r>
      <w:r w:rsidR="00E80006" w:rsidRPr="00B32D7E">
        <w:t xml:space="preserve">specific </w:t>
      </w:r>
      <w:r w:rsidR="000B276D">
        <w:t xml:space="preserve">network </w:t>
      </w:r>
      <w:r w:rsidR="00E80006" w:rsidRPr="00B32D7E">
        <w:t xml:space="preserve">infrastructure has to be maintained for rail services. </w:t>
      </w:r>
      <w:r w:rsidR="001F2CB9" w:rsidRPr="00B32D7E">
        <w:t xml:space="preserve">Yet, there are parts of the rail network where patronage on rail services is extremely low while significant infrastructure has to be maintained. </w:t>
      </w:r>
      <w:r w:rsidR="00696F16" w:rsidRPr="00B32D7E">
        <w:t>Therefore, there is a need to consider the role that pr</w:t>
      </w:r>
      <w:r w:rsidR="008C56B3" w:rsidRPr="00B32D7E">
        <w:t xml:space="preserve">ioritisation, or the </w:t>
      </w:r>
      <w:r w:rsidR="004F1AC6">
        <w:t xml:space="preserve">allocation of funds to </w:t>
      </w:r>
      <w:r w:rsidR="00696F16" w:rsidRPr="00B32D7E">
        <w:t>specific areas of the network, can play in best managing the network</w:t>
      </w:r>
      <w:r w:rsidR="00A3002D" w:rsidRPr="00B32D7E">
        <w:t xml:space="preserve"> </w:t>
      </w:r>
      <w:r w:rsidR="007F6D43" w:rsidRPr="00B32D7E">
        <w:t>in the future</w:t>
      </w:r>
      <w:r w:rsidR="00696F16" w:rsidRPr="00B32D7E">
        <w:t xml:space="preserve">. </w:t>
      </w:r>
    </w:p>
    <w:p w:rsidR="00DC6941" w:rsidRPr="00B32D7E" w:rsidRDefault="00DC6941" w:rsidP="00E32814">
      <w:pPr>
        <w:autoSpaceDE w:val="0"/>
        <w:autoSpaceDN w:val="0"/>
        <w:spacing w:after="0"/>
        <w:jc w:val="both"/>
        <w:rPr>
          <w:rFonts w:ascii="Calibri" w:eastAsia="Times New Roman" w:hAnsi="Calibri" w:cs="Times New Roman"/>
          <w:lang w:val="en-GB"/>
        </w:rPr>
      </w:pPr>
    </w:p>
    <w:p w:rsidR="00DC6941" w:rsidRPr="005A333C" w:rsidRDefault="00DC6941" w:rsidP="00E32814">
      <w:pPr>
        <w:autoSpaceDE w:val="0"/>
        <w:autoSpaceDN w:val="0"/>
        <w:spacing w:after="0"/>
        <w:jc w:val="both"/>
        <w:rPr>
          <w:rFonts w:eastAsia="Times New Roman" w:cs="Times New Roman"/>
          <w:lang w:val="en-GB"/>
        </w:rPr>
      </w:pPr>
      <w:r w:rsidRPr="005A333C">
        <w:rPr>
          <w:rFonts w:eastAsia="Times New Roman" w:cs="Times New Roman"/>
          <w:lang w:val="en-GB"/>
        </w:rPr>
        <w:t xml:space="preserve">Both the NTA and Iarnród Eireann want to ensure that there is a resilient rail network in place and an appropriately funded company to manage that network so that rail can contribute to the wider social and economic objectives of the </w:t>
      </w:r>
      <w:r w:rsidR="00221FCA" w:rsidRPr="005A333C">
        <w:rPr>
          <w:rFonts w:eastAsia="Times New Roman" w:cs="Times New Roman"/>
          <w:lang w:val="en-GB"/>
        </w:rPr>
        <w:t>S</w:t>
      </w:r>
      <w:r w:rsidRPr="005A333C">
        <w:rPr>
          <w:rFonts w:eastAsia="Times New Roman" w:cs="Times New Roman"/>
          <w:lang w:val="en-GB"/>
        </w:rPr>
        <w:t xml:space="preserve">tate. The rail network is a valuable asset </w:t>
      </w:r>
      <w:r w:rsidR="00221FCA" w:rsidRPr="005A333C">
        <w:rPr>
          <w:rFonts w:eastAsia="Times New Roman" w:cs="Times New Roman"/>
          <w:lang w:val="en-GB"/>
        </w:rPr>
        <w:t xml:space="preserve">in which </w:t>
      </w:r>
      <w:r w:rsidRPr="005A333C">
        <w:rPr>
          <w:rFonts w:eastAsia="Times New Roman" w:cs="Times New Roman"/>
          <w:lang w:val="en-GB"/>
        </w:rPr>
        <w:t xml:space="preserve">the </w:t>
      </w:r>
      <w:r w:rsidR="00221FCA" w:rsidRPr="005A333C">
        <w:rPr>
          <w:rFonts w:eastAsia="Times New Roman" w:cs="Times New Roman"/>
          <w:lang w:val="en-GB"/>
        </w:rPr>
        <w:t>S</w:t>
      </w:r>
      <w:r w:rsidRPr="005A333C">
        <w:rPr>
          <w:rFonts w:eastAsia="Times New Roman" w:cs="Times New Roman"/>
          <w:lang w:val="en-GB"/>
        </w:rPr>
        <w:t xml:space="preserve">tate has invested over many years. Along with the support of other effective policies to encourage </w:t>
      </w:r>
      <w:r w:rsidR="00221FCA" w:rsidRPr="005A333C">
        <w:rPr>
          <w:rFonts w:eastAsia="Times New Roman" w:cs="Times New Roman"/>
          <w:lang w:val="en-GB"/>
        </w:rPr>
        <w:t xml:space="preserve">a </w:t>
      </w:r>
      <w:r w:rsidRPr="005A333C">
        <w:rPr>
          <w:rFonts w:eastAsia="Times New Roman" w:cs="Times New Roman"/>
          <w:lang w:val="en-GB"/>
        </w:rPr>
        <w:t xml:space="preserve">shift to </w:t>
      </w:r>
      <w:r w:rsidR="00221FCA" w:rsidRPr="005A333C">
        <w:rPr>
          <w:rFonts w:eastAsia="Times New Roman" w:cs="Times New Roman"/>
          <w:lang w:val="en-GB"/>
        </w:rPr>
        <w:t xml:space="preserve">the use of </w:t>
      </w:r>
      <w:r w:rsidRPr="005A333C">
        <w:rPr>
          <w:rFonts w:eastAsia="Times New Roman" w:cs="Times New Roman"/>
          <w:lang w:val="en-GB"/>
        </w:rPr>
        <w:t xml:space="preserve">integrated public transport, the rail network can contribute to facilitating more sustainable land use development patterns, to providing a viable alternative to </w:t>
      </w:r>
      <w:r w:rsidR="00221FCA" w:rsidRPr="005A333C">
        <w:rPr>
          <w:rFonts w:eastAsia="Times New Roman" w:cs="Times New Roman"/>
          <w:lang w:val="en-GB"/>
        </w:rPr>
        <w:t xml:space="preserve">driving on </w:t>
      </w:r>
      <w:r w:rsidRPr="005A333C">
        <w:rPr>
          <w:rFonts w:eastAsia="Times New Roman" w:cs="Times New Roman"/>
          <w:lang w:val="en-GB"/>
        </w:rPr>
        <w:t>congested roads and to achieving the national climate change targets.</w:t>
      </w:r>
    </w:p>
    <w:p w:rsidR="00DC6941" w:rsidRPr="005A333C" w:rsidRDefault="00DC6941" w:rsidP="00E32814">
      <w:pPr>
        <w:spacing w:after="120"/>
        <w:jc w:val="both"/>
        <w:rPr>
          <w:rFonts w:eastAsia="Times New Roman" w:cs="Times New Roman"/>
        </w:rPr>
      </w:pPr>
    </w:p>
    <w:p w:rsidR="00F048AF" w:rsidRPr="000B276D" w:rsidRDefault="00DC6941" w:rsidP="00F048AF">
      <w:pPr>
        <w:pStyle w:val="NormalWeb"/>
        <w:shd w:val="clear" w:color="auto" w:fill="FFFFFF"/>
        <w:jc w:val="both"/>
        <w:textAlignment w:val="baseline"/>
        <w:rPr>
          <w:rFonts w:asciiTheme="minorHAnsi" w:hAnsiTheme="minorHAnsi"/>
          <w:sz w:val="22"/>
          <w:szCs w:val="22"/>
          <w:lang w:eastAsia="en-IE"/>
        </w:rPr>
      </w:pPr>
      <w:r w:rsidRPr="005A333C">
        <w:rPr>
          <w:rFonts w:asciiTheme="minorHAnsi" w:eastAsia="Times New Roman" w:hAnsiTheme="minorHAnsi"/>
          <w:sz w:val="22"/>
          <w:szCs w:val="22"/>
        </w:rPr>
        <w:t>We would like to hear your views on these matters</w:t>
      </w:r>
      <w:r w:rsidR="00F048AF" w:rsidRPr="005A333C">
        <w:rPr>
          <w:rFonts w:asciiTheme="minorHAnsi" w:eastAsia="Times New Roman" w:hAnsiTheme="minorHAnsi"/>
          <w:sz w:val="22"/>
          <w:szCs w:val="22"/>
        </w:rPr>
        <w:t xml:space="preserve"> in order to advise the Minister</w:t>
      </w:r>
      <w:r w:rsidR="00221FCA" w:rsidRPr="005A333C">
        <w:rPr>
          <w:rFonts w:asciiTheme="minorHAnsi" w:eastAsia="Times New Roman" w:hAnsiTheme="minorHAnsi"/>
          <w:sz w:val="22"/>
          <w:szCs w:val="22"/>
        </w:rPr>
        <w:t xml:space="preserve">, </w:t>
      </w:r>
      <w:r w:rsidR="00F048AF" w:rsidRPr="005A333C">
        <w:rPr>
          <w:rFonts w:asciiTheme="minorHAnsi" w:eastAsia="Times New Roman" w:hAnsiTheme="minorHAnsi"/>
          <w:sz w:val="22"/>
          <w:szCs w:val="22"/>
        </w:rPr>
        <w:t xml:space="preserve">in particular on what should </w:t>
      </w:r>
      <w:r w:rsidR="00D80FB7" w:rsidRPr="005A333C">
        <w:rPr>
          <w:rFonts w:asciiTheme="minorHAnsi" w:eastAsia="Times New Roman" w:hAnsiTheme="minorHAnsi"/>
          <w:sz w:val="22"/>
          <w:szCs w:val="22"/>
        </w:rPr>
        <w:t xml:space="preserve">be included in </w:t>
      </w:r>
      <w:r w:rsidR="00F048AF" w:rsidRPr="005A333C">
        <w:rPr>
          <w:rFonts w:asciiTheme="minorHAnsi" w:eastAsia="Times New Roman" w:hAnsiTheme="minorHAnsi"/>
          <w:sz w:val="22"/>
          <w:szCs w:val="22"/>
        </w:rPr>
        <w:t xml:space="preserve">a </w:t>
      </w:r>
      <w:r w:rsidR="00F048AF" w:rsidRPr="000B276D">
        <w:rPr>
          <w:rFonts w:asciiTheme="minorHAnsi" w:hAnsiTheme="minorHAnsi"/>
          <w:sz w:val="22"/>
          <w:szCs w:val="22"/>
          <w:lang w:eastAsia="en-IE"/>
        </w:rPr>
        <w:t>more sustainable rail policy that is responsive to the needs of the Irish economy</w:t>
      </w:r>
      <w:r w:rsidR="00F048AF" w:rsidRPr="000B276D">
        <w:rPr>
          <w:rFonts w:asciiTheme="minorHAnsi" w:hAnsiTheme="minorHAnsi"/>
          <w:sz w:val="22"/>
          <w:szCs w:val="22"/>
        </w:rPr>
        <w:t xml:space="preserve"> i</w:t>
      </w:r>
      <w:r w:rsidR="00F048AF" w:rsidRPr="000B276D">
        <w:rPr>
          <w:rFonts w:asciiTheme="minorHAnsi" w:hAnsiTheme="minorHAnsi"/>
          <w:sz w:val="22"/>
          <w:szCs w:val="22"/>
          <w:lang w:eastAsia="en-IE"/>
        </w:rPr>
        <w:t xml:space="preserve">n </w:t>
      </w:r>
      <w:r w:rsidR="00D80FB7" w:rsidRPr="000B276D">
        <w:rPr>
          <w:rFonts w:asciiTheme="minorHAnsi" w:hAnsiTheme="minorHAnsi"/>
          <w:sz w:val="22"/>
          <w:szCs w:val="22"/>
          <w:lang w:eastAsia="en-IE"/>
        </w:rPr>
        <w:t xml:space="preserve">terms of </w:t>
      </w:r>
      <w:r w:rsidR="00F048AF" w:rsidRPr="000852C9">
        <w:rPr>
          <w:rFonts w:asciiTheme="minorHAnsi" w:hAnsiTheme="minorHAnsi"/>
          <w:sz w:val="22"/>
          <w:szCs w:val="22"/>
          <w:lang w:eastAsia="en-IE"/>
        </w:rPr>
        <w:t xml:space="preserve">both capital </w:t>
      </w:r>
      <w:r w:rsidR="00D80FB7" w:rsidRPr="004A1120">
        <w:rPr>
          <w:rFonts w:asciiTheme="minorHAnsi" w:hAnsiTheme="minorHAnsi"/>
          <w:sz w:val="22"/>
          <w:szCs w:val="22"/>
          <w:lang w:eastAsia="en-IE"/>
        </w:rPr>
        <w:t xml:space="preserve">investment </w:t>
      </w:r>
      <w:r w:rsidR="00F048AF" w:rsidRPr="00347503">
        <w:rPr>
          <w:rFonts w:asciiTheme="minorHAnsi" w:hAnsiTheme="minorHAnsi"/>
          <w:sz w:val="22"/>
          <w:szCs w:val="22"/>
          <w:lang w:eastAsia="en-IE"/>
        </w:rPr>
        <w:t>and operati</w:t>
      </w:r>
      <w:r w:rsidR="00D80FB7" w:rsidRPr="00347503">
        <w:rPr>
          <w:rFonts w:asciiTheme="minorHAnsi" w:hAnsiTheme="minorHAnsi"/>
          <w:sz w:val="22"/>
          <w:szCs w:val="22"/>
          <w:lang w:eastAsia="en-IE"/>
        </w:rPr>
        <w:t>ng</w:t>
      </w:r>
      <w:r w:rsidR="00F048AF" w:rsidRPr="00347503">
        <w:rPr>
          <w:rFonts w:asciiTheme="minorHAnsi" w:hAnsiTheme="minorHAnsi"/>
          <w:sz w:val="22"/>
          <w:szCs w:val="22"/>
          <w:lang w:eastAsia="en-IE"/>
        </w:rPr>
        <w:t xml:space="preserve"> subvention </w:t>
      </w:r>
      <w:r w:rsidR="00221FCA" w:rsidRPr="00347503">
        <w:rPr>
          <w:rFonts w:asciiTheme="minorHAnsi" w:hAnsiTheme="minorHAnsi"/>
          <w:sz w:val="22"/>
          <w:szCs w:val="22"/>
          <w:lang w:eastAsia="en-IE"/>
        </w:rPr>
        <w:t>required</w:t>
      </w:r>
      <w:r w:rsidR="00221FCA" w:rsidRPr="00C00C3D">
        <w:rPr>
          <w:rFonts w:asciiTheme="minorHAnsi" w:hAnsiTheme="minorHAnsi"/>
          <w:sz w:val="22"/>
          <w:szCs w:val="22"/>
          <w:lang w:eastAsia="en-IE"/>
        </w:rPr>
        <w:t xml:space="preserve">. </w:t>
      </w:r>
      <w:r w:rsidR="00105B0C" w:rsidRPr="00C00C3D">
        <w:rPr>
          <w:rFonts w:asciiTheme="minorHAnsi" w:hAnsiTheme="minorHAnsi"/>
          <w:sz w:val="22"/>
          <w:szCs w:val="22"/>
          <w:lang w:eastAsia="en-IE"/>
        </w:rPr>
        <w:t xml:space="preserve"> </w:t>
      </w:r>
      <w:r w:rsidR="00221FCA" w:rsidRPr="00C00C3D">
        <w:rPr>
          <w:rFonts w:asciiTheme="minorHAnsi" w:hAnsiTheme="minorHAnsi"/>
          <w:sz w:val="22"/>
          <w:szCs w:val="22"/>
          <w:lang w:eastAsia="en-IE"/>
        </w:rPr>
        <w:t>T</w:t>
      </w:r>
      <w:r w:rsidR="00F048AF" w:rsidRPr="00C00C3D">
        <w:rPr>
          <w:rFonts w:asciiTheme="minorHAnsi" w:hAnsiTheme="minorHAnsi"/>
          <w:sz w:val="22"/>
          <w:szCs w:val="22"/>
          <w:lang w:eastAsia="en-IE"/>
        </w:rPr>
        <w:t xml:space="preserve">he NTA notes that a new rail policy must consider how to focus rail investment on where rail has, or will </w:t>
      </w:r>
      <w:r w:rsidR="00AA0194" w:rsidRPr="00C00C3D">
        <w:rPr>
          <w:rFonts w:asciiTheme="minorHAnsi" w:hAnsiTheme="minorHAnsi"/>
          <w:sz w:val="22"/>
          <w:szCs w:val="22"/>
          <w:lang w:eastAsia="en-IE"/>
        </w:rPr>
        <w:t>have</w:t>
      </w:r>
      <w:r w:rsidR="00E30AFE" w:rsidRPr="00C00C3D">
        <w:rPr>
          <w:rFonts w:asciiTheme="minorHAnsi" w:hAnsiTheme="minorHAnsi"/>
          <w:sz w:val="22"/>
          <w:szCs w:val="22"/>
          <w:lang w:eastAsia="en-IE"/>
        </w:rPr>
        <w:t>, its</w:t>
      </w:r>
      <w:r w:rsidR="00F048AF" w:rsidRPr="00DA23BF">
        <w:rPr>
          <w:rFonts w:asciiTheme="minorHAnsi" w:hAnsiTheme="minorHAnsi"/>
          <w:sz w:val="22"/>
          <w:szCs w:val="22"/>
          <w:lang w:eastAsia="en-IE"/>
        </w:rPr>
        <w:t xml:space="preserve"> greatest </w:t>
      </w:r>
      <w:r w:rsidR="00AA0194" w:rsidRPr="00DA23BF">
        <w:rPr>
          <w:rFonts w:asciiTheme="minorHAnsi" w:hAnsiTheme="minorHAnsi"/>
          <w:sz w:val="22"/>
          <w:szCs w:val="22"/>
          <w:lang w:eastAsia="en-IE"/>
        </w:rPr>
        <w:t>strength</w:t>
      </w:r>
      <w:r w:rsidR="00221FCA" w:rsidRPr="00DA23BF">
        <w:rPr>
          <w:rFonts w:asciiTheme="minorHAnsi" w:hAnsiTheme="minorHAnsi"/>
          <w:sz w:val="22"/>
          <w:szCs w:val="22"/>
          <w:lang w:eastAsia="en-IE"/>
        </w:rPr>
        <w:t xml:space="preserve"> in transport, social and </w:t>
      </w:r>
      <w:r w:rsidR="00E30AFE" w:rsidRPr="00DA23BF">
        <w:rPr>
          <w:rFonts w:asciiTheme="minorHAnsi" w:hAnsiTheme="minorHAnsi"/>
          <w:sz w:val="22"/>
          <w:szCs w:val="22"/>
          <w:lang w:eastAsia="en-IE"/>
        </w:rPr>
        <w:t xml:space="preserve">environmental </w:t>
      </w:r>
      <w:r w:rsidR="00E30AFE" w:rsidRPr="00E54A7D">
        <w:rPr>
          <w:rFonts w:asciiTheme="minorHAnsi" w:hAnsiTheme="minorHAnsi"/>
          <w:sz w:val="22"/>
          <w:szCs w:val="22"/>
          <w:lang w:eastAsia="en-IE"/>
        </w:rPr>
        <w:t>terms</w:t>
      </w:r>
      <w:r w:rsidR="00221FCA" w:rsidRPr="00E54A7D">
        <w:rPr>
          <w:rFonts w:asciiTheme="minorHAnsi" w:hAnsiTheme="minorHAnsi"/>
          <w:sz w:val="22"/>
          <w:szCs w:val="22"/>
          <w:lang w:eastAsia="en-IE"/>
        </w:rPr>
        <w:t>,</w:t>
      </w:r>
      <w:r w:rsidR="00AA0194" w:rsidRPr="000B276D">
        <w:rPr>
          <w:rFonts w:asciiTheme="minorHAnsi" w:hAnsiTheme="minorHAnsi"/>
          <w:sz w:val="22"/>
          <w:szCs w:val="22"/>
          <w:lang w:eastAsia="en-IE"/>
        </w:rPr>
        <w:t xml:space="preserve"> </w:t>
      </w:r>
      <w:r w:rsidR="00221FCA" w:rsidRPr="000B276D">
        <w:rPr>
          <w:rFonts w:asciiTheme="minorHAnsi" w:hAnsiTheme="minorHAnsi"/>
          <w:sz w:val="22"/>
          <w:szCs w:val="22"/>
          <w:lang w:eastAsia="en-IE"/>
        </w:rPr>
        <w:t xml:space="preserve">as well as </w:t>
      </w:r>
      <w:r w:rsidR="00F048AF" w:rsidRPr="000B276D">
        <w:rPr>
          <w:rFonts w:asciiTheme="minorHAnsi" w:hAnsiTheme="minorHAnsi"/>
          <w:sz w:val="22"/>
          <w:szCs w:val="22"/>
          <w:lang w:eastAsia="en-IE"/>
        </w:rPr>
        <w:t xml:space="preserve">securing value for money </w:t>
      </w:r>
      <w:r w:rsidR="00221FCA" w:rsidRPr="000B276D">
        <w:rPr>
          <w:rFonts w:asciiTheme="minorHAnsi" w:hAnsiTheme="minorHAnsi"/>
          <w:sz w:val="22"/>
          <w:szCs w:val="22"/>
          <w:lang w:eastAsia="en-IE"/>
        </w:rPr>
        <w:t xml:space="preserve">for the State’s investment. </w:t>
      </w:r>
    </w:p>
    <w:p w:rsidR="00DC6941" w:rsidRPr="005A333C" w:rsidRDefault="00DC6941" w:rsidP="00E32814">
      <w:pPr>
        <w:spacing w:after="120"/>
        <w:jc w:val="both"/>
        <w:rPr>
          <w:rFonts w:eastAsia="Times New Roman" w:cs="Times New Roman"/>
        </w:rPr>
      </w:pPr>
    </w:p>
    <w:p w:rsidR="00DC6941" w:rsidRPr="00B32D7E" w:rsidRDefault="00DC6941" w:rsidP="00DC6941">
      <w:pPr>
        <w:spacing w:after="120" w:line="360" w:lineRule="auto"/>
        <w:jc w:val="both"/>
        <w:rPr>
          <w:rFonts w:ascii="Calibri" w:eastAsia="Times New Roman" w:hAnsi="Calibri" w:cs="Times New Roman"/>
          <w:lang w:val="en-GB"/>
        </w:rPr>
      </w:pPr>
    </w:p>
    <w:p w:rsidR="00AF5E03" w:rsidRPr="00B32D7E" w:rsidRDefault="00AF5E03">
      <w:pPr>
        <w:rPr>
          <w:rFonts w:ascii="Calibri" w:eastAsia="Times New Roman" w:hAnsi="Calibri" w:cs="Times New Roman"/>
          <w:b/>
          <w:sz w:val="28"/>
          <w:szCs w:val="20"/>
          <w:lang w:val="en-GB"/>
        </w:rPr>
      </w:pPr>
      <w:r w:rsidRPr="00B32D7E">
        <w:rPr>
          <w:rFonts w:ascii="Calibri" w:eastAsia="Times New Roman" w:hAnsi="Calibri" w:cs="Times New Roman"/>
          <w:b/>
          <w:sz w:val="28"/>
          <w:szCs w:val="20"/>
          <w:lang w:val="en-GB"/>
        </w:rPr>
        <w:lastRenderedPageBreak/>
        <w:br w:type="page"/>
      </w:r>
    </w:p>
    <w:p w:rsidR="00E4447F" w:rsidRPr="00B32D7E" w:rsidRDefault="00E4447F" w:rsidP="00E32814">
      <w:pPr>
        <w:keepNext/>
        <w:spacing w:after="120" w:line="240" w:lineRule="auto"/>
        <w:jc w:val="both"/>
        <w:outlineLvl w:val="0"/>
        <w:rPr>
          <w:rFonts w:ascii="Calibri" w:eastAsia="Times New Roman" w:hAnsi="Calibri" w:cs="Times New Roman"/>
          <w:b/>
          <w:sz w:val="28"/>
          <w:szCs w:val="20"/>
          <w:lang w:val="en-GB"/>
        </w:rPr>
      </w:pPr>
      <w:r w:rsidRPr="00B32D7E">
        <w:rPr>
          <w:rFonts w:ascii="Calibri" w:eastAsia="Times New Roman" w:hAnsi="Calibri" w:cs="Times New Roman"/>
          <w:b/>
          <w:sz w:val="28"/>
          <w:szCs w:val="20"/>
          <w:lang w:val="en-GB"/>
        </w:rPr>
        <w:lastRenderedPageBreak/>
        <w:t>Appendix</w:t>
      </w:r>
    </w:p>
    <w:p w:rsidR="00E4447F" w:rsidRPr="00B32D7E" w:rsidRDefault="00E4447F" w:rsidP="00E32814">
      <w:pPr>
        <w:keepNext/>
        <w:spacing w:after="120" w:line="240" w:lineRule="auto"/>
        <w:jc w:val="both"/>
        <w:outlineLvl w:val="0"/>
        <w:rPr>
          <w:rFonts w:ascii="Calibri" w:eastAsia="Times New Roman" w:hAnsi="Calibri" w:cs="Times New Roman"/>
          <w:b/>
          <w:sz w:val="28"/>
          <w:szCs w:val="20"/>
          <w:lang w:val="en-GB"/>
        </w:rPr>
      </w:pPr>
    </w:p>
    <w:p w:rsidR="00DC6941" w:rsidRPr="00B32D7E" w:rsidRDefault="00DC6941" w:rsidP="00E32814">
      <w:pPr>
        <w:keepNext/>
        <w:spacing w:after="120" w:line="240" w:lineRule="auto"/>
        <w:jc w:val="both"/>
        <w:outlineLvl w:val="0"/>
        <w:rPr>
          <w:rFonts w:ascii="Calibri" w:eastAsia="Times New Roman" w:hAnsi="Calibri" w:cs="Times New Roman"/>
          <w:b/>
          <w:sz w:val="28"/>
          <w:szCs w:val="20"/>
          <w:lang w:val="en-GB"/>
        </w:rPr>
      </w:pPr>
      <w:r w:rsidRPr="00B32D7E">
        <w:rPr>
          <w:rFonts w:ascii="Calibri" w:eastAsia="Times New Roman" w:hAnsi="Calibri" w:cs="Times New Roman"/>
          <w:b/>
          <w:sz w:val="28"/>
          <w:szCs w:val="20"/>
          <w:lang w:val="en-GB"/>
        </w:rPr>
        <w:t xml:space="preserve">Consultation on </w:t>
      </w:r>
      <w:r w:rsidR="00E32814" w:rsidRPr="00B32D7E">
        <w:rPr>
          <w:rFonts w:ascii="Calibri" w:eastAsia="Times New Roman" w:hAnsi="Calibri" w:cs="Times New Roman"/>
          <w:b/>
          <w:sz w:val="28"/>
          <w:szCs w:val="20"/>
          <w:lang w:val="en-GB"/>
        </w:rPr>
        <w:t xml:space="preserve">Role of </w:t>
      </w:r>
      <w:r w:rsidRPr="00B32D7E">
        <w:rPr>
          <w:rFonts w:ascii="Calibri" w:eastAsia="Times New Roman" w:hAnsi="Calibri" w:cs="Times New Roman"/>
          <w:b/>
          <w:sz w:val="28"/>
          <w:szCs w:val="20"/>
          <w:lang w:val="en-GB"/>
        </w:rPr>
        <w:t xml:space="preserve">Rail </w:t>
      </w:r>
    </w:p>
    <w:p w:rsidR="00E32814" w:rsidRPr="00B32D7E" w:rsidRDefault="00E32814" w:rsidP="00E32814">
      <w:pPr>
        <w:keepNext/>
        <w:spacing w:after="120" w:line="240" w:lineRule="auto"/>
        <w:jc w:val="both"/>
        <w:outlineLvl w:val="0"/>
        <w:rPr>
          <w:rFonts w:ascii="Calibri" w:eastAsia="Times New Roman" w:hAnsi="Calibri" w:cs="Times New Roman"/>
          <w:lang w:val="en-GB"/>
        </w:rPr>
      </w:pPr>
    </w:p>
    <w:p w:rsidR="00DC6941" w:rsidRPr="00B32D7E" w:rsidRDefault="00DC6941" w:rsidP="00DC6941">
      <w:pPr>
        <w:spacing w:after="120" w:line="360" w:lineRule="auto"/>
        <w:jc w:val="both"/>
        <w:rPr>
          <w:rFonts w:ascii="Calibri" w:eastAsia="Times New Roman" w:hAnsi="Calibri" w:cs="Times New Roman"/>
          <w:lang w:val="en-GB"/>
        </w:rPr>
      </w:pPr>
    </w:p>
    <w:p w:rsidR="00DC6941" w:rsidRPr="00B32D7E" w:rsidRDefault="00DC6941" w:rsidP="00DC6941">
      <w:pPr>
        <w:spacing w:after="120" w:line="360" w:lineRule="auto"/>
        <w:jc w:val="both"/>
        <w:rPr>
          <w:rFonts w:ascii="Calibri" w:eastAsia="Times New Roman" w:hAnsi="Calibri" w:cs="Times New Roman"/>
          <w:lang w:val="en-GB"/>
        </w:rPr>
      </w:pPr>
      <w:r w:rsidRPr="00B32D7E">
        <w:rPr>
          <w:rFonts w:ascii="Calibri" w:eastAsia="Times New Roman" w:hAnsi="Calibri" w:cs="Times New Roman"/>
          <w:lang w:val="en-GB"/>
        </w:rPr>
        <w:t xml:space="preserve">This public consultation gives respondents the opportunity to provide the Authority with public and stakeholder opinion on an optimal rail network </w:t>
      </w:r>
      <w:r w:rsidR="000B276D">
        <w:rPr>
          <w:rFonts w:ascii="Calibri" w:eastAsia="Times New Roman" w:hAnsi="Calibri" w:cs="Times New Roman"/>
          <w:lang w:val="en-GB"/>
        </w:rPr>
        <w:t xml:space="preserve">for Ireland </w:t>
      </w:r>
      <w:r w:rsidRPr="00B32D7E">
        <w:rPr>
          <w:rFonts w:ascii="Calibri" w:eastAsia="Times New Roman" w:hAnsi="Calibri" w:cs="Times New Roman"/>
          <w:lang w:val="en-GB"/>
        </w:rPr>
        <w:t>and its funding.</w:t>
      </w:r>
    </w:p>
    <w:p w:rsidR="00CB7527" w:rsidRPr="00B32D7E" w:rsidRDefault="00CB7527" w:rsidP="00CB7527">
      <w:pPr>
        <w:spacing w:after="120" w:line="360" w:lineRule="auto"/>
        <w:jc w:val="both"/>
        <w:rPr>
          <w:rFonts w:ascii="Calibri" w:eastAsia="Times New Roman" w:hAnsi="Calibri" w:cs="Times New Roman"/>
          <w:lang w:val="en-GB"/>
        </w:rPr>
      </w:pPr>
      <w:r w:rsidRPr="00B3247D">
        <w:rPr>
          <w:rFonts w:eastAsia="Times New Roman" w:cs="Times New Roman"/>
        </w:rPr>
        <w:t>A questionnaire is provided in the Appendix to this document to facilitate your submission.</w:t>
      </w:r>
      <w:r w:rsidRPr="00B32D7E">
        <w:rPr>
          <w:rFonts w:ascii="Calibri" w:eastAsia="Times New Roman" w:hAnsi="Calibri" w:cs="Times New Roman"/>
          <w:lang w:val="en-GB"/>
        </w:rPr>
        <w:t>You may wish to comment only on some of the questions – we welcome any contributions.</w:t>
      </w:r>
    </w:p>
    <w:p w:rsidR="00DC6941" w:rsidRPr="00B32D7E" w:rsidRDefault="000B276D" w:rsidP="00DC6941">
      <w:pPr>
        <w:spacing w:after="120" w:line="360" w:lineRule="auto"/>
        <w:jc w:val="both"/>
        <w:rPr>
          <w:rFonts w:ascii="Calibri" w:eastAsia="Times New Roman" w:hAnsi="Calibri" w:cs="Times New Roman"/>
          <w:lang w:val="en-GB"/>
        </w:rPr>
      </w:pPr>
      <w:r>
        <w:rPr>
          <w:rFonts w:ascii="Calibri" w:eastAsia="Times New Roman" w:hAnsi="Calibri" w:cs="Times New Roman"/>
          <w:lang w:val="en-GB"/>
        </w:rPr>
        <w:t>I</w:t>
      </w:r>
      <w:r w:rsidRPr="00B32D7E">
        <w:rPr>
          <w:rFonts w:ascii="Calibri" w:eastAsia="Times New Roman" w:hAnsi="Calibri" w:cs="Times New Roman"/>
          <w:lang w:val="en-GB"/>
        </w:rPr>
        <w:t>f responding in an alternative format</w:t>
      </w:r>
      <w:r>
        <w:rPr>
          <w:rFonts w:ascii="Calibri" w:eastAsia="Times New Roman" w:hAnsi="Calibri" w:cs="Times New Roman"/>
          <w:lang w:val="en-GB"/>
        </w:rPr>
        <w:t xml:space="preserve">, </w:t>
      </w:r>
      <w:r w:rsidR="00C50162">
        <w:rPr>
          <w:rFonts w:ascii="Calibri" w:eastAsia="Times New Roman" w:hAnsi="Calibri" w:cs="Times New Roman"/>
          <w:lang w:val="en-GB"/>
        </w:rPr>
        <w:t>r</w:t>
      </w:r>
      <w:r w:rsidR="00DC6941" w:rsidRPr="00B32D7E">
        <w:rPr>
          <w:rFonts w:ascii="Calibri" w:eastAsia="Times New Roman" w:hAnsi="Calibri" w:cs="Times New Roman"/>
          <w:lang w:val="en-GB"/>
        </w:rPr>
        <w:t>espondents should indicate which question or issue their text refers.</w:t>
      </w:r>
    </w:p>
    <w:p w:rsidR="00DC6941" w:rsidRPr="00B32D7E" w:rsidRDefault="00DC6941" w:rsidP="00DC6941">
      <w:pPr>
        <w:spacing w:after="120" w:line="360" w:lineRule="auto"/>
        <w:jc w:val="both"/>
        <w:rPr>
          <w:rFonts w:ascii="Calibri" w:eastAsia="Times New Roman" w:hAnsi="Calibri" w:cs="Times New Roman"/>
          <w:lang w:val="en-GB"/>
        </w:rPr>
      </w:pPr>
      <w:r w:rsidRPr="00B32D7E">
        <w:rPr>
          <w:rFonts w:ascii="Calibri" w:eastAsia="Times New Roman" w:hAnsi="Calibri" w:cs="Times New Roman"/>
          <w:lang w:val="en-GB"/>
        </w:rPr>
        <w:t>Other publications which may be of interest:</w:t>
      </w:r>
    </w:p>
    <w:p w:rsidR="00D80FB7" w:rsidRPr="00B32D7E" w:rsidRDefault="00D80FB7" w:rsidP="00D80FB7">
      <w:pPr>
        <w:spacing w:after="120" w:line="360" w:lineRule="auto"/>
        <w:jc w:val="both"/>
        <w:rPr>
          <w:rFonts w:ascii="Calibri" w:eastAsia="Times New Roman" w:hAnsi="Calibri" w:cs="Times New Roman"/>
          <w:lang w:val="en-GB"/>
        </w:rPr>
      </w:pPr>
      <w:r w:rsidRPr="00B32D7E">
        <w:rPr>
          <w:rFonts w:ascii="Calibri" w:eastAsia="Times New Roman" w:hAnsi="Calibri" w:cs="Times New Roman"/>
          <w:lang w:val="en-GB"/>
        </w:rPr>
        <w:t xml:space="preserve">The 2016 Rail Review document is published as part of this consultation at </w:t>
      </w:r>
      <w:hyperlink r:id="rId15" w:history="1">
        <w:r w:rsidRPr="00B32D7E">
          <w:rPr>
            <w:rStyle w:val="Hyperlink"/>
            <w:rFonts w:ascii="Calibri" w:eastAsia="Times New Roman" w:hAnsi="Calibri" w:cs="Times New Roman"/>
            <w:color w:val="auto"/>
            <w:lang w:val="en-GB"/>
          </w:rPr>
          <w:t>www.nationaltransport.ie</w:t>
        </w:r>
      </w:hyperlink>
    </w:p>
    <w:p w:rsidR="00DC6941" w:rsidRPr="00B32D7E" w:rsidRDefault="00DC6941" w:rsidP="00DC6941">
      <w:pPr>
        <w:spacing w:after="120" w:line="360" w:lineRule="auto"/>
        <w:jc w:val="both"/>
        <w:rPr>
          <w:rFonts w:ascii="Calibri" w:eastAsia="Times New Roman" w:hAnsi="Calibri" w:cs="Times New Roman"/>
          <w:lang w:val="en-GB"/>
        </w:rPr>
      </w:pPr>
      <w:r w:rsidRPr="00B32D7E">
        <w:rPr>
          <w:rFonts w:ascii="Calibri" w:eastAsia="Times New Roman" w:hAnsi="Calibri" w:cs="Times New Roman"/>
          <w:lang w:val="en-GB"/>
        </w:rPr>
        <w:t xml:space="preserve">2015 National </w:t>
      </w:r>
      <w:r w:rsidR="000866C8">
        <w:rPr>
          <w:rFonts w:ascii="Calibri" w:eastAsia="Times New Roman" w:hAnsi="Calibri" w:cs="Times New Roman"/>
          <w:lang w:val="en-GB"/>
        </w:rPr>
        <w:t>Heavy</w:t>
      </w:r>
      <w:r w:rsidR="00C445BB">
        <w:rPr>
          <w:rFonts w:ascii="Calibri" w:eastAsia="Times New Roman" w:hAnsi="Calibri" w:cs="Times New Roman"/>
          <w:lang w:val="en-GB"/>
        </w:rPr>
        <w:t xml:space="preserve"> </w:t>
      </w:r>
      <w:r w:rsidRPr="00B32D7E">
        <w:rPr>
          <w:rFonts w:ascii="Calibri" w:eastAsia="Times New Roman" w:hAnsi="Calibri" w:cs="Times New Roman"/>
          <w:lang w:val="en-GB"/>
        </w:rPr>
        <w:t xml:space="preserve">Rail Census available </w:t>
      </w:r>
      <w:proofErr w:type="gramStart"/>
      <w:r w:rsidRPr="00B32D7E">
        <w:rPr>
          <w:rFonts w:ascii="Calibri" w:eastAsia="Times New Roman" w:hAnsi="Calibri" w:cs="Times New Roman"/>
          <w:lang w:val="en-GB"/>
        </w:rPr>
        <w:t>at  www.nationaltransport.ie</w:t>
      </w:r>
      <w:proofErr w:type="gramEnd"/>
      <w:r w:rsidRPr="00B32D7E">
        <w:rPr>
          <w:rFonts w:ascii="Calibri" w:eastAsia="Times New Roman" w:hAnsi="Calibri" w:cs="Times New Roman"/>
          <w:lang w:val="en-GB"/>
        </w:rPr>
        <w:br w:type="page"/>
      </w:r>
    </w:p>
    <w:p w:rsidR="00DC6941" w:rsidRPr="00B32D7E" w:rsidRDefault="00DC6941" w:rsidP="00E32814">
      <w:pPr>
        <w:keepNext/>
        <w:spacing w:after="120" w:line="240" w:lineRule="auto"/>
        <w:jc w:val="both"/>
        <w:outlineLvl w:val="0"/>
        <w:rPr>
          <w:rFonts w:ascii="Calibri" w:eastAsia="Times New Roman" w:hAnsi="Calibri" w:cs="Times New Roman"/>
          <w:b/>
          <w:sz w:val="28"/>
          <w:szCs w:val="20"/>
          <w:lang w:val="en-GB"/>
        </w:rPr>
      </w:pPr>
      <w:r w:rsidRPr="00B32D7E">
        <w:rPr>
          <w:rFonts w:ascii="Calibri" w:eastAsia="Times New Roman" w:hAnsi="Calibri" w:cs="Times New Roman"/>
          <w:b/>
          <w:sz w:val="28"/>
          <w:szCs w:val="20"/>
          <w:lang w:val="en-GB"/>
        </w:rPr>
        <w:lastRenderedPageBreak/>
        <w:t>Questionnaire</w:t>
      </w:r>
    </w:p>
    <w:p w:rsidR="00DC6941" w:rsidRPr="00B32D7E" w:rsidRDefault="00DC6941" w:rsidP="00DC6941">
      <w:pPr>
        <w:spacing w:after="120" w:line="360" w:lineRule="auto"/>
        <w:jc w:val="both"/>
        <w:rPr>
          <w:rFonts w:ascii="Calibri" w:eastAsia="Times New Roman" w:hAnsi="Calibri" w:cs="Times New Roman"/>
          <w:lang w:val="en-GB"/>
        </w:rPr>
      </w:pPr>
    </w:p>
    <w:tbl>
      <w:tblPr>
        <w:tblW w:w="9226"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26"/>
      </w:tblGrid>
      <w:tr w:rsidR="00B32D7E" w:rsidRPr="00B32D7E" w:rsidTr="000A03CB">
        <w:trPr>
          <w:trHeight w:val="331"/>
        </w:trPr>
        <w:tc>
          <w:tcPr>
            <w:tcW w:w="9226" w:type="dxa"/>
            <w:tcBorders>
              <w:top w:val="dotted" w:sz="4" w:space="0" w:color="auto"/>
              <w:left w:val="dotted" w:sz="4" w:space="0" w:color="auto"/>
              <w:bottom w:val="dotted" w:sz="4" w:space="0" w:color="auto"/>
              <w:right w:val="dotted" w:sz="4" w:space="0" w:color="auto"/>
            </w:tcBorders>
          </w:tcPr>
          <w:p w:rsidR="00DC6941" w:rsidRPr="00B32D7E" w:rsidRDefault="00DC6941" w:rsidP="005A333C">
            <w:pPr>
              <w:numPr>
                <w:ilvl w:val="0"/>
                <w:numId w:val="38"/>
              </w:numPr>
              <w:spacing w:after="120" w:line="360" w:lineRule="auto"/>
              <w:ind w:left="584" w:hanging="567"/>
              <w:contextualSpacing/>
              <w:jc w:val="both"/>
              <w:rPr>
                <w:rFonts w:ascii="Calibri" w:eastAsia="Calibri" w:hAnsi="Calibri" w:cs="Times New Roman"/>
                <w:lang w:val="en-US"/>
              </w:rPr>
            </w:pPr>
            <w:r w:rsidRPr="00B32D7E">
              <w:rPr>
                <w:rFonts w:ascii="Calibri" w:eastAsia="Calibri" w:hAnsi="Calibri" w:cs="Times New Roman"/>
                <w:lang w:val="en-US"/>
              </w:rPr>
              <w:t xml:space="preserve">What </w:t>
            </w:r>
            <w:r w:rsidR="00DA32E0" w:rsidRPr="00B32D7E">
              <w:rPr>
                <w:rFonts w:ascii="Calibri" w:eastAsia="Calibri" w:hAnsi="Calibri" w:cs="Times New Roman"/>
                <w:lang w:val="en-US"/>
              </w:rPr>
              <w:t xml:space="preserve">do you think </w:t>
            </w:r>
            <w:r w:rsidR="006F22E0">
              <w:rPr>
                <w:rFonts w:ascii="Calibri" w:eastAsia="Calibri" w:hAnsi="Calibri" w:cs="Times New Roman"/>
                <w:lang w:val="en-US"/>
              </w:rPr>
              <w:t>is rail’s particular strength in term</w:t>
            </w:r>
            <w:r w:rsidR="00B2650F">
              <w:rPr>
                <w:rFonts w:ascii="Calibri" w:eastAsia="Calibri" w:hAnsi="Calibri" w:cs="Times New Roman"/>
                <w:lang w:val="en-US"/>
              </w:rPr>
              <w:t>s</w:t>
            </w:r>
            <w:r w:rsidR="006F22E0">
              <w:rPr>
                <w:rFonts w:ascii="Calibri" w:eastAsia="Calibri" w:hAnsi="Calibri" w:cs="Times New Roman"/>
                <w:lang w:val="en-US"/>
              </w:rPr>
              <w:t xml:space="preserve"> of its contribution to </w:t>
            </w:r>
            <w:r w:rsidR="002203A3">
              <w:rPr>
                <w:rFonts w:ascii="Calibri" w:eastAsia="Calibri" w:hAnsi="Calibri" w:cs="Times New Roman"/>
                <w:lang w:val="en-US"/>
              </w:rPr>
              <w:t>transport in Ireland</w:t>
            </w:r>
            <w:r w:rsidR="007D6DF0">
              <w:rPr>
                <w:rFonts w:ascii="Calibri" w:eastAsia="Calibri" w:hAnsi="Calibri" w:cs="Times New Roman"/>
                <w:lang w:val="en-US"/>
              </w:rPr>
              <w:t>?</w:t>
            </w:r>
            <w:r w:rsidR="006F22E0">
              <w:rPr>
                <w:rFonts w:ascii="Calibri" w:eastAsia="Calibri" w:hAnsi="Calibri" w:cs="Times New Roman"/>
                <w:lang w:val="en-US"/>
              </w:rPr>
              <w:t xml:space="preserve"> </w:t>
            </w:r>
          </w:p>
        </w:tc>
      </w:tr>
      <w:tr w:rsidR="00B32D7E" w:rsidRPr="00B32D7E" w:rsidTr="000A03CB">
        <w:trPr>
          <w:trHeight w:val="1258"/>
        </w:trPr>
        <w:tc>
          <w:tcPr>
            <w:tcW w:w="9226" w:type="dxa"/>
            <w:tcBorders>
              <w:top w:val="dotted" w:sz="4" w:space="0" w:color="auto"/>
              <w:left w:val="dotted" w:sz="4" w:space="0" w:color="auto"/>
              <w:bottom w:val="dotted" w:sz="4" w:space="0" w:color="auto"/>
              <w:right w:val="dotted" w:sz="4" w:space="0" w:color="auto"/>
            </w:tcBorders>
          </w:tcPr>
          <w:p w:rsidR="00DC6941" w:rsidRPr="00B32D7E" w:rsidRDefault="00DC6941" w:rsidP="00DC6941">
            <w:pPr>
              <w:spacing w:before="120" w:after="120" w:line="360" w:lineRule="auto"/>
              <w:rPr>
                <w:rFonts w:ascii="Lucida Bright" w:eastAsia="Times New Roman" w:hAnsi="Lucida Bright" w:cs="Times New Roman"/>
                <w:b/>
                <w:lang w:val="en-US"/>
              </w:rPr>
            </w:pPr>
          </w:p>
          <w:p w:rsidR="00DC6941" w:rsidRPr="00B32D7E" w:rsidRDefault="00DC6941" w:rsidP="00DC6941">
            <w:pPr>
              <w:spacing w:after="120" w:line="360" w:lineRule="auto"/>
              <w:jc w:val="both"/>
              <w:rPr>
                <w:rFonts w:ascii="Calibri" w:eastAsia="Times New Roman" w:hAnsi="Calibri" w:cs="Times New Roman"/>
                <w:lang w:val="en-US"/>
              </w:rPr>
            </w:pPr>
          </w:p>
          <w:p w:rsidR="00DC6941" w:rsidRPr="00B32D7E" w:rsidRDefault="00DC6941" w:rsidP="00DC6941">
            <w:pPr>
              <w:spacing w:after="120" w:line="360" w:lineRule="auto"/>
              <w:jc w:val="both"/>
              <w:rPr>
                <w:rFonts w:ascii="Calibri" w:eastAsia="Times New Roman" w:hAnsi="Calibri" w:cs="Times New Roman"/>
                <w:lang w:val="en-US"/>
              </w:rPr>
            </w:pPr>
          </w:p>
          <w:p w:rsidR="00DC6941" w:rsidRPr="00B32D7E" w:rsidRDefault="00DC6941" w:rsidP="00DC6941">
            <w:pPr>
              <w:spacing w:after="120" w:line="360" w:lineRule="auto"/>
              <w:jc w:val="both"/>
              <w:rPr>
                <w:rFonts w:ascii="Calibri" w:eastAsia="Times New Roman" w:hAnsi="Calibri" w:cs="Times New Roman"/>
                <w:lang w:val="en-US"/>
              </w:rPr>
            </w:pPr>
          </w:p>
          <w:p w:rsidR="00DC6941" w:rsidRPr="00B32D7E" w:rsidRDefault="00DC6941" w:rsidP="00DC6941">
            <w:pPr>
              <w:spacing w:after="120" w:line="360" w:lineRule="auto"/>
              <w:jc w:val="both"/>
              <w:rPr>
                <w:rFonts w:ascii="Calibri" w:eastAsia="Times New Roman" w:hAnsi="Calibri" w:cs="Times New Roman"/>
                <w:lang w:val="en-US"/>
              </w:rPr>
            </w:pPr>
          </w:p>
          <w:p w:rsidR="00DC6941" w:rsidRPr="00B32D7E" w:rsidRDefault="00DC6941" w:rsidP="00DC6941">
            <w:pPr>
              <w:spacing w:after="120" w:line="360" w:lineRule="auto"/>
              <w:jc w:val="both"/>
              <w:rPr>
                <w:rFonts w:ascii="Calibri" w:eastAsia="Times New Roman" w:hAnsi="Calibri" w:cs="Times New Roman"/>
                <w:lang w:val="en-US"/>
              </w:rPr>
            </w:pPr>
          </w:p>
        </w:tc>
      </w:tr>
      <w:tr w:rsidR="00B32D7E" w:rsidRPr="00B32D7E" w:rsidTr="000A03CB">
        <w:trPr>
          <w:trHeight w:val="773"/>
        </w:trPr>
        <w:tc>
          <w:tcPr>
            <w:tcW w:w="9226" w:type="dxa"/>
            <w:tcBorders>
              <w:top w:val="dotted" w:sz="4" w:space="0" w:color="auto"/>
              <w:left w:val="dotted" w:sz="4" w:space="0" w:color="auto"/>
              <w:bottom w:val="dotted" w:sz="4" w:space="0" w:color="auto"/>
              <w:right w:val="dotted" w:sz="4" w:space="0" w:color="auto"/>
            </w:tcBorders>
          </w:tcPr>
          <w:p w:rsidR="00DC6941" w:rsidRPr="00B32D7E" w:rsidRDefault="00DC6941" w:rsidP="005A333C">
            <w:pPr>
              <w:numPr>
                <w:ilvl w:val="0"/>
                <w:numId w:val="38"/>
              </w:numPr>
              <w:spacing w:after="120" w:line="360" w:lineRule="auto"/>
              <w:ind w:left="584" w:hanging="567"/>
              <w:contextualSpacing/>
              <w:jc w:val="both"/>
              <w:rPr>
                <w:rFonts w:ascii="Calibri" w:eastAsia="Calibri" w:hAnsi="Calibri" w:cs="Times New Roman"/>
                <w:lang w:val="en-US"/>
              </w:rPr>
            </w:pPr>
            <w:r w:rsidRPr="00B32D7E">
              <w:rPr>
                <w:rFonts w:ascii="Calibri" w:eastAsia="Calibri" w:hAnsi="Calibri" w:cs="Times New Roman"/>
                <w:lang w:val="en-US"/>
              </w:rPr>
              <w:t xml:space="preserve">How </w:t>
            </w:r>
            <w:r w:rsidR="000866C8">
              <w:rPr>
                <w:rFonts w:ascii="Calibri" w:eastAsia="Calibri" w:hAnsi="Calibri" w:cs="Times New Roman"/>
                <w:lang w:val="en-US"/>
              </w:rPr>
              <w:t xml:space="preserve">important </w:t>
            </w:r>
            <w:r w:rsidR="002203A3">
              <w:rPr>
                <w:rFonts w:ascii="Calibri" w:eastAsia="Calibri" w:hAnsi="Calibri" w:cs="Times New Roman"/>
                <w:lang w:val="en-US"/>
              </w:rPr>
              <w:t xml:space="preserve">do you consider the environmental contribution of rail to be relative to other </w:t>
            </w:r>
            <w:r w:rsidR="008F7773">
              <w:rPr>
                <w:rFonts w:ascii="Calibri" w:eastAsia="Calibri" w:hAnsi="Calibri" w:cs="Times New Roman"/>
                <w:lang w:val="en-US"/>
              </w:rPr>
              <w:t xml:space="preserve">transport </w:t>
            </w:r>
            <w:r w:rsidR="002203A3">
              <w:rPr>
                <w:rFonts w:ascii="Calibri" w:eastAsia="Calibri" w:hAnsi="Calibri" w:cs="Times New Roman"/>
                <w:lang w:val="en-US"/>
              </w:rPr>
              <w:t>modes</w:t>
            </w:r>
            <w:r w:rsidR="001768A4">
              <w:rPr>
                <w:rFonts w:ascii="Calibri" w:eastAsia="Calibri" w:hAnsi="Calibri" w:cs="Times New Roman"/>
                <w:lang w:val="en-US"/>
              </w:rPr>
              <w:t xml:space="preserve">? </w:t>
            </w:r>
            <w:r w:rsidR="00C445BB">
              <w:rPr>
                <w:rFonts w:ascii="Calibri" w:eastAsia="Calibri" w:hAnsi="Calibri" w:cs="Times New Roman"/>
                <w:lang w:val="en-US"/>
              </w:rPr>
              <w:t xml:space="preserve"> </w:t>
            </w:r>
          </w:p>
        </w:tc>
      </w:tr>
      <w:tr w:rsidR="00B32D7E" w:rsidRPr="00B32D7E" w:rsidTr="000A03CB">
        <w:trPr>
          <w:trHeight w:val="1327"/>
        </w:trPr>
        <w:tc>
          <w:tcPr>
            <w:tcW w:w="9226" w:type="dxa"/>
            <w:tcBorders>
              <w:top w:val="dotted" w:sz="4" w:space="0" w:color="auto"/>
              <w:left w:val="dotted" w:sz="4" w:space="0" w:color="auto"/>
              <w:bottom w:val="dotted" w:sz="4" w:space="0" w:color="auto"/>
              <w:right w:val="dotted" w:sz="4" w:space="0" w:color="auto"/>
            </w:tcBorders>
          </w:tcPr>
          <w:p w:rsidR="00DC6941" w:rsidRPr="00B32D7E" w:rsidRDefault="00DC6941" w:rsidP="00DC6941">
            <w:pPr>
              <w:spacing w:before="120" w:after="120" w:line="360" w:lineRule="auto"/>
              <w:rPr>
                <w:rFonts w:ascii="Lucida Bright" w:eastAsia="Times New Roman" w:hAnsi="Lucida Bright" w:cs="Times New Roman"/>
                <w:b/>
                <w:lang w:val="en-US"/>
              </w:rPr>
            </w:pPr>
          </w:p>
          <w:p w:rsidR="00DC6941" w:rsidRPr="00B32D7E" w:rsidRDefault="00DC6941" w:rsidP="00DC6941">
            <w:pPr>
              <w:spacing w:after="120" w:line="360" w:lineRule="auto"/>
              <w:jc w:val="both"/>
              <w:rPr>
                <w:rFonts w:ascii="Calibri" w:eastAsia="Times New Roman" w:hAnsi="Calibri" w:cs="Times New Roman"/>
                <w:lang w:val="en-US"/>
              </w:rPr>
            </w:pPr>
          </w:p>
          <w:p w:rsidR="00DC6941" w:rsidRPr="00B32D7E" w:rsidRDefault="00DC6941" w:rsidP="00DC6941">
            <w:pPr>
              <w:spacing w:after="120" w:line="360" w:lineRule="auto"/>
              <w:jc w:val="both"/>
              <w:rPr>
                <w:rFonts w:ascii="Calibri" w:eastAsia="Times New Roman" w:hAnsi="Calibri" w:cs="Times New Roman"/>
                <w:lang w:val="en-US"/>
              </w:rPr>
            </w:pPr>
          </w:p>
          <w:p w:rsidR="00DC6941" w:rsidRPr="00B32D7E" w:rsidRDefault="00DC6941" w:rsidP="00DC6941">
            <w:pPr>
              <w:spacing w:after="120" w:line="360" w:lineRule="auto"/>
              <w:jc w:val="both"/>
              <w:rPr>
                <w:rFonts w:ascii="Calibri" w:eastAsia="Times New Roman" w:hAnsi="Calibri" w:cs="Times New Roman"/>
                <w:lang w:val="en-US"/>
              </w:rPr>
            </w:pPr>
          </w:p>
          <w:p w:rsidR="00DC6941" w:rsidRPr="00B32D7E" w:rsidRDefault="00DC6941" w:rsidP="00DC6941">
            <w:pPr>
              <w:spacing w:after="120" w:line="360" w:lineRule="auto"/>
              <w:jc w:val="both"/>
              <w:rPr>
                <w:rFonts w:ascii="Calibri" w:eastAsia="Times New Roman" w:hAnsi="Calibri" w:cs="Times New Roman"/>
                <w:lang w:val="en-US"/>
              </w:rPr>
            </w:pPr>
          </w:p>
          <w:p w:rsidR="00DC6941" w:rsidRPr="00B32D7E" w:rsidRDefault="00DC6941" w:rsidP="00DC6941">
            <w:pPr>
              <w:spacing w:after="120" w:line="360" w:lineRule="auto"/>
              <w:jc w:val="both"/>
              <w:rPr>
                <w:rFonts w:ascii="Calibri" w:eastAsia="Times New Roman" w:hAnsi="Calibri" w:cs="Times New Roman"/>
                <w:lang w:val="en-US"/>
              </w:rPr>
            </w:pPr>
          </w:p>
        </w:tc>
      </w:tr>
      <w:tr w:rsidR="00B32D7E" w:rsidRPr="00B32D7E" w:rsidTr="000A03CB">
        <w:trPr>
          <w:trHeight w:val="336"/>
        </w:trPr>
        <w:tc>
          <w:tcPr>
            <w:tcW w:w="9226" w:type="dxa"/>
            <w:tcBorders>
              <w:top w:val="dotted" w:sz="4" w:space="0" w:color="auto"/>
              <w:left w:val="dotted" w:sz="4" w:space="0" w:color="auto"/>
              <w:bottom w:val="dotted" w:sz="4" w:space="0" w:color="auto"/>
              <w:right w:val="dotted" w:sz="4" w:space="0" w:color="auto"/>
            </w:tcBorders>
          </w:tcPr>
          <w:p w:rsidR="00DC6941" w:rsidRPr="00B32D7E" w:rsidRDefault="00DC6941" w:rsidP="00A11523">
            <w:pPr>
              <w:numPr>
                <w:ilvl w:val="0"/>
                <w:numId w:val="38"/>
              </w:numPr>
              <w:spacing w:after="120" w:line="360" w:lineRule="auto"/>
              <w:ind w:left="726" w:hanging="709"/>
              <w:contextualSpacing/>
              <w:jc w:val="both"/>
              <w:rPr>
                <w:rFonts w:ascii="Calibri" w:eastAsia="Calibri" w:hAnsi="Calibri" w:cs="Times New Roman"/>
                <w:lang w:val="en-US"/>
              </w:rPr>
            </w:pPr>
            <w:r w:rsidRPr="00B32D7E">
              <w:rPr>
                <w:rFonts w:ascii="Calibri" w:eastAsia="Calibri" w:hAnsi="Calibri" w:cs="Times New Roman"/>
                <w:lang w:val="en-US"/>
              </w:rPr>
              <w:t xml:space="preserve">What </w:t>
            </w:r>
            <w:r w:rsidR="00C445BB">
              <w:rPr>
                <w:rFonts w:ascii="Calibri" w:eastAsia="Calibri" w:hAnsi="Calibri" w:cs="Times New Roman"/>
                <w:lang w:val="en-US"/>
              </w:rPr>
              <w:t xml:space="preserve">in </w:t>
            </w:r>
            <w:r w:rsidRPr="00B32D7E">
              <w:rPr>
                <w:rFonts w:ascii="Calibri" w:eastAsia="Calibri" w:hAnsi="Calibri" w:cs="Times New Roman"/>
                <w:lang w:val="en-US"/>
              </w:rPr>
              <w:t xml:space="preserve">your view </w:t>
            </w:r>
            <w:r w:rsidR="00C445BB">
              <w:rPr>
                <w:rFonts w:ascii="Calibri" w:eastAsia="Calibri" w:hAnsi="Calibri" w:cs="Times New Roman"/>
                <w:lang w:val="en-US"/>
              </w:rPr>
              <w:t>is rail’s contribution to Irish society</w:t>
            </w:r>
            <w:r w:rsidR="007F379D">
              <w:rPr>
                <w:rFonts w:ascii="Calibri" w:eastAsia="Calibri" w:hAnsi="Calibri" w:cs="Times New Roman"/>
                <w:lang w:val="en-US"/>
              </w:rPr>
              <w:t xml:space="preserve"> relative to other modes</w:t>
            </w:r>
            <w:r w:rsidR="008F7773">
              <w:rPr>
                <w:rFonts w:ascii="Calibri" w:eastAsia="Calibri" w:hAnsi="Calibri" w:cs="Times New Roman"/>
                <w:lang w:val="en-US"/>
              </w:rPr>
              <w:t xml:space="preserve"> of travel</w:t>
            </w:r>
            <w:r w:rsidR="00C445BB">
              <w:rPr>
                <w:rFonts w:ascii="Calibri" w:eastAsia="Calibri" w:hAnsi="Calibri" w:cs="Times New Roman"/>
                <w:lang w:val="en-US"/>
              </w:rPr>
              <w:t xml:space="preserve">? </w:t>
            </w:r>
            <w:r w:rsidRPr="00B32D7E">
              <w:rPr>
                <w:rFonts w:ascii="Calibri" w:eastAsia="Calibri" w:hAnsi="Calibri" w:cs="Times New Roman"/>
                <w:lang w:val="en-US"/>
              </w:rPr>
              <w:t xml:space="preserve">  Consider issues such as accessib</w:t>
            </w:r>
            <w:r w:rsidR="00C445BB">
              <w:rPr>
                <w:rFonts w:ascii="Calibri" w:eastAsia="Calibri" w:hAnsi="Calibri" w:cs="Times New Roman"/>
                <w:lang w:val="en-US"/>
              </w:rPr>
              <w:t>le</w:t>
            </w:r>
            <w:r w:rsidRPr="00B32D7E">
              <w:rPr>
                <w:rFonts w:ascii="Calibri" w:eastAsia="Calibri" w:hAnsi="Calibri" w:cs="Times New Roman"/>
                <w:lang w:val="en-US"/>
              </w:rPr>
              <w:t xml:space="preserve"> services for the mobility impaired, social inclusion and the Free Travel Scheme.</w:t>
            </w:r>
          </w:p>
        </w:tc>
      </w:tr>
      <w:tr w:rsidR="00B32D7E" w:rsidRPr="00B32D7E" w:rsidTr="000A03CB">
        <w:trPr>
          <w:trHeight w:val="1327"/>
        </w:trPr>
        <w:tc>
          <w:tcPr>
            <w:tcW w:w="9226" w:type="dxa"/>
            <w:tcBorders>
              <w:top w:val="dotted" w:sz="4" w:space="0" w:color="auto"/>
              <w:left w:val="dotted" w:sz="4" w:space="0" w:color="auto"/>
              <w:bottom w:val="dotted" w:sz="4" w:space="0" w:color="auto"/>
              <w:right w:val="dotted" w:sz="4" w:space="0" w:color="auto"/>
            </w:tcBorders>
          </w:tcPr>
          <w:p w:rsidR="00DC6941" w:rsidRPr="00B32D7E" w:rsidRDefault="00DC6941" w:rsidP="00DC6941">
            <w:pPr>
              <w:spacing w:after="120" w:line="360" w:lineRule="auto"/>
              <w:jc w:val="both"/>
              <w:rPr>
                <w:rFonts w:ascii="Calibri" w:eastAsia="Times New Roman" w:hAnsi="Calibri" w:cs="Times New Roman"/>
                <w:lang w:val="en-US"/>
              </w:rPr>
            </w:pPr>
          </w:p>
          <w:p w:rsidR="00DC6941" w:rsidRPr="00B32D7E" w:rsidRDefault="00DC6941" w:rsidP="00DC6941">
            <w:pPr>
              <w:spacing w:after="120" w:line="360" w:lineRule="auto"/>
              <w:jc w:val="both"/>
              <w:rPr>
                <w:rFonts w:ascii="Calibri" w:eastAsia="Times New Roman" w:hAnsi="Calibri" w:cs="Times New Roman"/>
                <w:lang w:val="en-US"/>
              </w:rPr>
            </w:pPr>
          </w:p>
          <w:p w:rsidR="00DC6941" w:rsidRPr="00B32D7E" w:rsidRDefault="00DC6941" w:rsidP="00DC6941">
            <w:pPr>
              <w:spacing w:after="120" w:line="360" w:lineRule="auto"/>
              <w:jc w:val="both"/>
              <w:rPr>
                <w:rFonts w:ascii="Calibri" w:eastAsia="Times New Roman" w:hAnsi="Calibri" w:cs="Times New Roman"/>
                <w:lang w:val="en-US"/>
              </w:rPr>
            </w:pPr>
          </w:p>
          <w:p w:rsidR="00DC6941" w:rsidRPr="00B32D7E" w:rsidRDefault="00DC6941" w:rsidP="00DC6941">
            <w:pPr>
              <w:spacing w:after="120" w:line="360" w:lineRule="auto"/>
              <w:jc w:val="both"/>
              <w:rPr>
                <w:rFonts w:ascii="Calibri" w:eastAsia="Times New Roman" w:hAnsi="Calibri" w:cs="Times New Roman"/>
                <w:lang w:val="en-US"/>
              </w:rPr>
            </w:pPr>
          </w:p>
          <w:p w:rsidR="00DC6941" w:rsidRPr="00B32D7E" w:rsidRDefault="00DC6941" w:rsidP="00DC6941">
            <w:pPr>
              <w:spacing w:after="120" w:line="360" w:lineRule="auto"/>
              <w:jc w:val="both"/>
              <w:rPr>
                <w:rFonts w:ascii="Calibri" w:eastAsia="Times New Roman" w:hAnsi="Calibri" w:cs="Times New Roman"/>
                <w:lang w:val="en-US"/>
              </w:rPr>
            </w:pPr>
          </w:p>
          <w:p w:rsidR="00DC6941" w:rsidRPr="00B32D7E" w:rsidRDefault="00DC6941" w:rsidP="00DC6941">
            <w:pPr>
              <w:spacing w:after="120" w:line="360" w:lineRule="auto"/>
              <w:jc w:val="both"/>
              <w:rPr>
                <w:rFonts w:ascii="Calibri" w:eastAsia="Times New Roman" w:hAnsi="Calibri" w:cs="Times New Roman"/>
                <w:lang w:val="en-US"/>
              </w:rPr>
            </w:pPr>
          </w:p>
          <w:p w:rsidR="00E32814" w:rsidRPr="00B32D7E" w:rsidRDefault="00E32814" w:rsidP="00DC6941">
            <w:pPr>
              <w:spacing w:after="120" w:line="360" w:lineRule="auto"/>
              <w:jc w:val="both"/>
              <w:rPr>
                <w:rFonts w:ascii="Calibri" w:eastAsia="Times New Roman" w:hAnsi="Calibri" w:cs="Times New Roman"/>
                <w:lang w:val="en-US"/>
              </w:rPr>
            </w:pPr>
          </w:p>
        </w:tc>
      </w:tr>
      <w:tr w:rsidR="00B32D7E" w:rsidRPr="00B32D7E" w:rsidTr="000A03CB">
        <w:trPr>
          <w:trHeight w:val="282"/>
        </w:trPr>
        <w:tc>
          <w:tcPr>
            <w:tcW w:w="9226" w:type="dxa"/>
            <w:tcBorders>
              <w:top w:val="dotted" w:sz="4" w:space="0" w:color="auto"/>
              <w:left w:val="dotted" w:sz="4" w:space="0" w:color="auto"/>
              <w:bottom w:val="dotted" w:sz="4" w:space="0" w:color="auto"/>
              <w:right w:val="dotted" w:sz="4" w:space="0" w:color="auto"/>
            </w:tcBorders>
          </w:tcPr>
          <w:p w:rsidR="00DC6941" w:rsidRPr="00B32D7E" w:rsidRDefault="00DC6941" w:rsidP="005A333C">
            <w:pPr>
              <w:numPr>
                <w:ilvl w:val="0"/>
                <w:numId w:val="38"/>
              </w:numPr>
              <w:spacing w:after="120" w:line="360" w:lineRule="auto"/>
              <w:ind w:left="442" w:hanging="425"/>
              <w:contextualSpacing/>
              <w:jc w:val="both"/>
              <w:rPr>
                <w:rFonts w:ascii="Calibri" w:eastAsia="Calibri" w:hAnsi="Calibri" w:cs="Times New Roman"/>
                <w:lang w:val="en-US"/>
              </w:rPr>
            </w:pPr>
            <w:r w:rsidRPr="00B32D7E">
              <w:rPr>
                <w:rFonts w:ascii="Calibri" w:eastAsia="Calibri" w:hAnsi="Calibri" w:cs="Times New Roman"/>
                <w:lang w:val="en-US"/>
              </w:rPr>
              <w:lastRenderedPageBreak/>
              <w:t>Rail could play a much greater role for commuter travel in Dublin (</w:t>
            </w:r>
            <w:r w:rsidR="007D6DF0">
              <w:rPr>
                <w:rFonts w:ascii="Calibri" w:eastAsia="Calibri" w:hAnsi="Calibri" w:cs="Times New Roman"/>
                <w:lang w:val="en-US"/>
              </w:rPr>
              <w:t xml:space="preserve">in 2011 </w:t>
            </w:r>
            <w:r w:rsidRPr="00B32D7E">
              <w:rPr>
                <w:rFonts w:ascii="Calibri" w:eastAsia="Calibri" w:hAnsi="Calibri" w:cs="Times New Roman"/>
                <w:lang w:val="en-US"/>
              </w:rPr>
              <w:t xml:space="preserve">7% </w:t>
            </w:r>
            <w:r w:rsidR="007D6DF0">
              <w:rPr>
                <w:rFonts w:ascii="Calibri" w:eastAsia="Calibri" w:hAnsi="Calibri" w:cs="Times New Roman"/>
                <w:lang w:val="en-US"/>
              </w:rPr>
              <w:t xml:space="preserve">of commuting to work or education was by </w:t>
            </w:r>
            <w:r w:rsidR="00E30AFE">
              <w:rPr>
                <w:rFonts w:ascii="Calibri" w:eastAsia="Calibri" w:hAnsi="Calibri" w:cs="Times New Roman"/>
                <w:lang w:val="en-US"/>
              </w:rPr>
              <w:t>rail)</w:t>
            </w:r>
            <w:r w:rsidRPr="00B32D7E">
              <w:rPr>
                <w:rFonts w:ascii="Calibri" w:eastAsia="Calibri" w:hAnsi="Calibri" w:cs="Times New Roman"/>
                <w:lang w:val="en-US"/>
              </w:rPr>
              <w:t xml:space="preserve"> and </w:t>
            </w:r>
            <w:r w:rsidR="007D6DF0">
              <w:rPr>
                <w:rFonts w:ascii="Calibri" w:eastAsia="Calibri" w:hAnsi="Calibri" w:cs="Times New Roman"/>
                <w:lang w:val="en-US"/>
              </w:rPr>
              <w:t xml:space="preserve">in </w:t>
            </w:r>
            <w:r w:rsidRPr="00B32D7E">
              <w:rPr>
                <w:rFonts w:ascii="Calibri" w:eastAsia="Calibri" w:hAnsi="Calibri" w:cs="Times New Roman"/>
                <w:lang w:val="en-US"/>
              </w:rPr>
              <w:t xml:space="preserve">Cork </w:t>
            </w:r>
            <w:r w:rsidR="00E30AFE" w:rsidRPr="00B32D7E">
              <w:rPr>
                <w:rFonts w:ascii="Calibri" w:eastAsia="Calibri" w:hAnsi="Calibri" w:cs="Times New Roman"/>
                <w:lang w:val="en-US"/>
              </w:rPr>
              <w:t>(1</w:t>
            </w:r>
            <w:r w:rsidRPr="00B32D7E">
              <w:rPr>
                <w:rFonts w:ascii="Calibri" w:eastAsia="Calibri" w:hAnsi="Calibri" w:cs="Times New Roman"/>
                <w:lang w:val="en-US"/>
              </w:rPr>
              <w:t xml:space="preserve">% in 2011). What policies and </w:t>
            </w:r>
            <w:r w:rsidR="00C445BB">
              <w:rPr>
                <w:rFonts w:ascii="Calibri" w:eastAsia="Calibri" w:hAnsi="Calibri" w:cs="Times New Roman"/>
                <w:lang w:val="en-US"/>
              </w:rPr>
              <w:t xml:space="preserve">measures </w:t>
            </w:r>
            <w:r w:rsidRPr="00B32D7E">
              <w:rPr>
                <w:rFonts w:ascii="Calibri" w:eastAsia="Calibri" w:hAnsi="Calibri" w:cs="Times New Roman"/>
                <w:lang w:val="en-US"/>
              </w:rPr>
              <w:t xml:space="preserve">are required in your view to increase use of rail </w:t>
            </w:r>
            <w:r w:rsidR="00B2650F">
              <w:rPr>
                <w:rFonts w:ascii="Calibri" w:eastAsia="Calibri" w:hAnsi="Calibri" w:cs="Times New Roman"/>
                <w:lang w:val="en-US"/>
              </w:rPr>
              <w:t>by commuters in these cities</w:t>
            </w:r>
            <w:r w:rsidRPr="00B32D7E">
              <w:rPr>
                <w:rFonts w:ascii="Calibri" w:eastAsia="Calibri" w:hAnsi="Calibri" w:cs="Times New Roman"/>
                <w:lang w:val="en-US"/>
              </w:rPr>
              <w:t xml:space="preserve">?   </w:t>
            </w:r>
          </w:p>
        </w:tc>
      </w:tr>
      <w:tr w:rsidR="00B32D7E" w:rsidRPr="00B32D7E" w:rsidTr="000A03CB">
        <w:trPr>
          <w:trHeight w:val="1327"/>
        </w:trPr>
        <w:tc>
          <w:tcPr>
            <w:tcW w:w="9226" w:type="dxa"/>
            <w:tcBorders>
              <w:top w:val="dotted" w:sz="4" w:space="0" w:color="auto"/>
              <w:left w:val="dotted" w:sz="4" w:space="0" w:color="auto"/>
              <w:bottom w:val="dotted" w:sz="4" w:space="0" w:color="auto"/>
              <w:right w:val="dotted" w:sz="4" w:space="0" w:color="auto"/>
            </w:tcBorders>
          </w:tcPr>
          <w:p w:rsidR="00DC6941" w:rsidRPr="00B32D7E" w:rsidRDefault="00DC6941" w:rsidP="00DC6941">
            <w:pPr>
              <w:spacing w:before="120" w:after="120" w:line="360" w:lineRule="auto"/>
              <w:rPr>
                <w:rFonts w:ascii="Lucida Bright" w:eastAsia="Times New Roman" w:hAnsi="Lucida Bright" w:cs="Times New Roman"/>
                <w:b/>
                <w:lang w:val="en-US"/>
              </w:rPr>
            </w:pPr>
          </w:p>
          <w:p w:rsidR="00DC6941" w:rsidRPr="00B32D7E" w:rsidRDefault="00DC6941" w:rsidP="00DC6941">
            <w:pPr>
              <w:spacing w:after="120" w:line="360" w:lineRule="auto"/>
              <w:jc w:val="both"/>
              <w:rPr>
                <w:rFonts w:ascii="Calibri" w:eastAsia="Times New Roman" w:hAnsi="Calibri" w:cs="Times New Roman"/>
                <w:lang w:val="en-US"/>
              </w:rPr>
            </w:pPr>
          </w:p>
          <w:p w:rsidR="00DC6941" w:rsidRPr="00B32D7E" w:rsidRDefault="00DC6941" w:rsidP="00DC6941">
            <w:pPr>
              <w:spacing w:after="120" w:line="360" w:lineRule="auto"/>
              <w:jc w:val="both"/>
              <w:rPr>
                <w:rFonts w:ascii="Calibri" w:eastAsia="Times New Roman" w:hAnsi="Calibri" w:cs="Times New Roman"/>
                <w:lang w:val="en-US"/>
              </w:rPr>
            </w:pPr>
          </w:p>
          <w:p w:rsidR="00DC6941" w:rsidRPr="00B32D7E" w:rsidRDefault="00DC6941" w:rsidP="00DC6941">
            <w:pPr>
              <w:spacing w:after="120" w:line="360" w:lineRule="auto"/>
              <w:jc w:val="both"/>
              <w:rPr>
                <w:rFonts w:ascii="Calibri" w:eastAsia="Times New Roman" w:hAnsi="Calibri" w:cs="Times New Roman"/>
                <w:lang w:val="en-US"/>
              </w:rPr>
            </w:pPr>
          </w:p>
          <w:p w:rsidR="00DC6941" w:rsidRPr="00B32D7E" w:rsidRDefault="00DC6941" w:rsidP="00DC6941">
            <w:pPr>
              <w:spacing w:after="120" w:line="360" w:lineRule="auto"/>
              <w:jc w:val="both"/>
              <w:rPr>
                <w:rFonts w:ascii="Calibri" w:eastAsia="Times New Roman" w:hAnsi="Calibri" w:cs="Times New Roman"/>
                <w:lang w:val="en-US"/>
              </w:rPr>
            </w:pPr>
          </w:p>
          <w:p w:rsidR="00DC6941" w:rsidRPr="00B32D7E" w:rsidRDefault="00DC6941" w:rsidP="00DC6941">
            <w:pPr>
              <w:spacing w:after="120" w:line="360" w:lineRule="auto"/>
              <w:jc w:val="both"/>
              <w:rPr>
                <w:rFonts w:ascii="Calibri" w:eastAsia="Times New Roman" w:hAnsi="Calibri" w:cs="Times New Roman"/>
                <w:lang w:val="en-US"/>
              </w:rPr>
            </w:pPr>
          </w:p>
        </w:tc>
      </w:tr>
      <w:tr w:rsidR="00B32D7E" w:rsidRPr="00B32D7E" w:rsidTr="000A03CB">
        <w:trPr>
          <w:trHeight w:val="336"/>
        </w:trPr>
        <w:tc>
          <w:tcPr>
            <w:tcW w:w="9226" w:type="dxa"/>
            <w:tcBorders>
              <w:top w:val="dotted" w:sz="4" w:space="0" w:color="auto"/>
              <w:left w:val="dotted" w:sz="4" w:space="0" w:color="auto"/>
              <w:bottom w:val="dotted" w:sz="4" w:space="0" w:color="auto"/>
              <w:right w:val="dotted" w:sz="4" w:space="0" w:color="auto"/>
            </w:tcBorders>
          </w:tcPr>
          <w:p w:rsidR="00DC6941" w:rsidRDefault="00DC6941" w:rsidP="00A11523">
            <w:pPr>
              <w:numPr>
                <w:ilvl w:val="0"/>
                <w:numId w:val="38"/>
              </w:numPr>
              <w:spacing w:after="120" w:line="360" w:lineRule="auto"/>
              <w:ind w:left="442" w:hanging="425"/>
              <w:contextualSpacing/>
              <w:jc w:val="both"/>
              <w:rPr>
                <w:rFonts w:ascii="Calibri" w:eastAsia="Calibri" w:hAnsi="Calibri" w:cs="Times New Roman"/>
                <w:lang w:val="en-US"/>
              </w:rPr>
            </w:pPr>
            <w:r w:rsidRPr="00B32D7E">
              <w:rPr>
                <w:rFonts w:ascii="Calibri" w:eastAsia="Calibri" w:hAnsi="Calibri" w:cs="Times New Roman"/>
                <w:lang w:val="en-US"/>
              </w:rPr>
              <w:t xml:space="preserve">What initiatives </w:t>
            </w:r>
            <w:r w:rsidR="007D6DF0">
              <w:rPr>
                <w:rFonts w:ascii="Calibri" w:eastAsia="Calibri" w:hAnsi="Calibri" w:cs="Times New Roman"/>
                <w:lang w:val="en-US"/>
              </w:rPr>
              <w:t xml:space="preserve">do </w:t>
            </w:r>
            <w:r w:rsidRPr="00B32D7E">
              <w:rPr>
                <w:rFonts w:ascii="Calibri" w:eastAsia="Calibri" w:hAnsi="Calibri" w:cs="Times New Roman"/>
                <w:lang w:val="en-US"/>
              </w:rPr>
              <w:t xml:space="preserve">you recommend </w:t>
            </w:r>
            <w:r w:rsidR="00C445BB">
              <w:rPr>
                <w:rFonts w:ascii="Calibri" w:eastAsia="Calibri" w:hAnsi="Calibri" w:cs="Times New Roman"/>
                <w:lang w:val="en-US"/>
              </w:rPr>
              <w:t xml:space="preserve">to </w:t>
            </w:r>
            <w:r w:rsidR="007D6DF0">
              <w:rPr>
                <w:rFonts w:ascii="Calibri" w:eastAsia="Calibri" w:hAnsi="Calibri" w:cs="Times New Roman"/>
                <w:lang w:val="en-US"/>
              </w:rPr>
              <w:t xml:space="preserve">increase rail patronage, </w:t>
            </w:r>
            <w:r w:rsidRPr="00B32D7E">
              <w:rPr>
                <w:rFonts w:ascii="Calibri" w:eastAsia="Calibri" w:hAnsi="Calibri" w:cs="Times New Roman"/>
                <w:lang w:val="en-US"/>
              </w:rPr>
              <w:t xml:space="preserve">particularly </w:t>
            </w:r>
            <w:r w:rsidR="00B2650F">
              <w:rPr>
                <w:rFonts w:ascii="Calibri" w:eastAsia="Calibri" w:hAnsi="Calibri" w:cs="Times New Roman"/>
                <w:lang w:val="en-US"/>
              </w:rPr>
              <w:t xml:space="preserve">on </w:t>
            </w:r>
            <w:r w:rsidRPr="00B32D7E">
              <w:rPr>
                <w:rFonts w:ascii="Calibri" w:eastAsia="Calibri" w:hAnsi="Calibri" w:cs="Times New Roman"/>
                <w:lang w:val="en-US"/>
              </w:rPr>
              <w:t>intercity services</w:t>
            </w:r>
            <w:r w:rsidR="00DA32E0" w:rsidRPr="00B32D7E">
              <w:rPr>
                <w:rFonts w:ascii="Calibri" w:eastAsia="Calibri" w:hAnsi="Calibri" w:cs="Times New Roman"/>
                <w:lang w:val="en-US"/>
              </w:rPr>
              <w:t xml:space="preserve"> (e.g. shorter journey times, lower fares, more frequent services)</w:t>
            </w:r>
            <w:r w:rsidRPr="00B32D7E">
              <w:rPr>
                <w:rFonts w:ascii="Calibri" w:eastAsia="Calibri" w:hAnsi="Calibri" w:cs="Times New Roman"/>
                <w:lang w:val="en-US"/>
              </w:rPr>
              <w:t xml:space="preserve">? </w:t>
            </w:r>
          </w:p>
          <w:p w:rsidR="007575C3" w:rsidRPr="00B32D7E" w:rsidRDefault="007575C3" w:rsidP="006C76BC">
            <w:pPr>
              <w:spacing w:after="120" w:line="360" w:lineRule="auto"/>
              <w:contextualSpacing/>
              <w:jc w:val="both"/>
              <w:rPr>
                <w:rFonts w:ascii="Calibri" w:eastAsia="Calibri" w:hAnsi="Calibri" w:cs="Times New Roman"/>
                <w:lang w:val="en-US"/>
              </w:rPr>
            </w:pPr>
          </w:p>
        </w:tc>
      </w:tr>
      <w:tr w:rsidR="00B32D7E" w:rsidRPr="00B32D7E" w:rsidTr="000A03CB">
        <w:trPr>
          <w:trHeight w:val="1327"/>
        </w:trPr>
        <w:tc>
          <w:tcPr>
            <w:tcW w:w="9226" w:type="dxa"/>
            <w:tcBorders>
              <w:top w:val="dotted" w:sz="4" w:space="0" w:color="auto"/>
              <w:left w:val="dotted" w:sz="4" w:space="0" w:color="auto"/>
              <w:bottom w:val="dotted" w:sz="4" w:space="0" w:color="auto"/>
              <w:right w:val="dotted" w:sz="4" w:space="0" w:color="auto"/>
            </w:tcBorders>
          </w:tcPr>
          <w:p w:rsidR="00DC6941" w:rsidRPr="00B32D7E" w:rsidRDefault="00DC6941" w:rsidP="00DC6941">
            <w:pPr>
              <w:spacing w:after="120" w:line="360" w:lineRule="auto"/>
              <w:jc w:val="both"/>
              <w:rPr>
                <w:rFonts w:ascii="Calibri" w:eastAsia="Times New Roman" w:hAnsi="Calibri" w:cs="Times New Roman"/>
                <w:lang w:val="en-GB"/>
              </w:rPr>
            </w:pPr>
          </w:p>
          <w:p w:rsidR="00DC6941" w:rsidRPr="00B32D7E" w:rsidRDefault="00DC6941" w:rsidP="00DC6941">
            <w:pPr>
              <w:spacing w:after="120" w:line="360" w:lineRule="auto"/>
              <w:jc w:val="both"/>
              <w:rPr>
                <w:rFonts w:ascii="Calibri" w:eastAsia="Times New Roman" w:hAnsi="Calibri" w:cs="Times New Roman"/>
                <w:lang w:val="en-GB"/>
              </w:rPr>
            </w:pPr>
          </w:p>
          <w:p w:rsidR="00DC6941" w:rsidRPr="00B32D7E" w:rsidRDefault="00DC6941" w:rsidP="00DC6941">
            <w:pPr>
              <w:spacing w:after="120" w:line="360" w:lineRule="auto"/>
              <w:jc w:val="both"/>
              <w:rPr>
                <w:rFonts w:ascii="Calibri" w:eastAsia="Times New Roman" w:hAnsi="Calibri" w:cs="Times New Roman"/>
                <w:lang w:val="en-GB"/>
              </w:rPr>
            </w:pPr>
          </w:p>
          <w:p w:rsidR="00DC6941" w:rsidRPr="00B32D7E" w:rsidRDefault="00DC6941" w:rsidP="00DC6941">
            <w:pPr>
              <w:spacing w:after="120" w:line="360" w:lineRule="auto"/>
              <w:jc w:val="both"/>
              <w:rPr>
                <w:rFonts w:ascii="Calibri" w:eastAsia="Times New Roman" w:hAnsi="Calibri" w:cs="Times New Roman"/>
                <w:lang w:val="en-GB"/>
              </w:rPr>
            </w:pPr>
          </w:p>
          <w:p w:rsidR="00DC6941" w:rsidRPr="00B32D7E" w:rsidRDefault="00DC6941" w:rsidP="00DC6941">
            <w:pPr>
              <w:spacing w:after="120" w:line="360" w:lineRule="auto"/>
              <w:jc w:val="both"/>
              <w:rPr>
                <w:rFonts w:ascii="Calibri" w:eastAsia="Times New Roman" w:hAnsi="Calibri" w:cs="Times New Roman"/>
                <w:lang w:val="en-GB"/>
              </w:rPr>
            </w:pPr>
          </w:p>
          <w:p w:rsidR="00DC6941" w:rsidRPr="00B32D7E" w:rsidRDefault="00DC6941" w:rsidP="00DC6941">
            <w:pPr>
              <w:spacing w:after="120" w:line="360" w:lineRule="auto"/>
              <w:jc w:val="both"/>
              <w:rPr>
                <w:rFonts w:ascii="Calibri" w:eastAsia="Times New Roman" w:hAnsi="Calibri" w:cs="Times New Roman"/>
                <w:lang w:val="en-GB"/>
              </w:rPr>
            </w:pPr>
          </w:p>
          <w:p w:rsidR="00DC6941" w:rsidRPr="00B32D7E" w:rsidRDefault="00DC6941" w:rsidP="00DC6941">
            <w:pPr>
              <w:spacing w:after="120" w:line="360" w:lineRule="auto"/>
              <w:jc w:val="both"/>
              <w:rPr>
                <w:rFonts w:ascii="Calibri" w:eastAsia="Times New Roman" w:hAnsi="Calibri" w:cs="Times New Roman"/>
                <w:lang w:val="en-GB"/>
              </w:rPr>
            </w:pPr>
          </w:p>
        </w:tc>
      </w:tr>
      <w:tr w:rsidR="00CB7527" w:rsidRPr="00B32D7E" w:rsidTr="000A03CB">
        <w:trPr>
          <w:trHeight w:val="1429"/>
        </w:trPr>
        <w:tc>
          <w:tcPr>
            <w:tcW w:w="9226" w:type="dxa"/>
            <w:tcBorders>
              <w:top w:val="dotted" w:sz="4" w:space="0" w:color="auto"/>
              <w:left w:val="dotted" w:sz="4" w:space="0" w:color="auto"/>
              <w:bottom w:val="dotted" w:sz="4" w:space="0" w:color="auto"/>
              <w:right w:val="dotted" w:sz="4" w:space="0" w:color="auto"/>
            </w:tcBorders>
          </w:tcPr>
          <w:p w:rsidR="00CB7527" w:rsidRDefault="002319F0" w:rsidP="004D43BE">
            <w:pPr>
              <w:spacing w:after="120" w:line="360" w:lineRule="auto"/>
              <w:contextualSpacing/>
              <w:jc w:val="both"/>
              <w:rPr>
                <w:rFonts w:ascii="Calibri" w:eastAsia="Calibri" w:hAnsi="Calibri" w:cs="Times New Roman"/>
                <w:lang w:val="en-US"/>
              </w:rPr>
            </w:pPr>
            <w:r>
              <w:rPr>
                <w:rFonts w:ascii="Calibri" w:eastAsia="Calibri" w:hAnsi="Calibri" w:cs="Times New Roman"/>
                <w:lang w:val="en-US"/>
              </w:rPr>
              <w:t>6.</w:t>
            </w:r>
            <w:r w:rsidR="00CB7527">
              <w:rPr>
                <w:rFonts w:ascii="Calibri" w:eastAsia="Calibri" w:hAnsi="Calibri" w:cs="Times New Roman"/>
                <w:lang w:val="en-US"/>
              </w:rPr>
              <w:t xml:space="preserve"> </w:t>
            </w:r>
            <w:r w:rsidR="00CB7527">
              <w:t xml:space="preserve"> Should fare policy include consideration of time of journey (peak/off-peak), the type of person </w:t>
            </w:r>
            <w:proofErr w:type="gramStart"/>
            <w:r w:rsidR="00CB7527">
              <w:t>travelling(</w:t>
            </w:r>
            <w:proofErr w:type="gramEnd"/>
            <w:r w:rsidR="00CB7527">
              <w:t xml:space="preserve">e.g. adult/student, etc.),the booking method or timing (internet/in station, on-the-day/in advance)? </w:t>
            </w:r>
            <w:r w:rsidR="008F7773">
              <w:t>Why?</w:t>
            </w:r>
          </w:p>
        </w:tc>
      </w:tr>
      <w:tr w:rsidR="00CB7527" w:rsidRPr="00B32D7E" w:rsidTr="002319F0">
        <w:trPr>
          <w:trHeight w:val="2927"/>
        </w:trPr>
        <w:tc>
          <w:tcPr>
            <w:tcW w:w="9226" w:type="dxa"/>
            <w:tcBorders>
              <w:top w:val="dotted" w:sz="4" w:space="0" w:color="auto"/>
              <w:left w:val="dotted" w:sz="4" w:space="0" w:color="auto"/>
              <w:bottom w:val="dotted" w:sz="4" w:space="0" w:color="auto"/>
              <w:right w:val="dotted" w:sz="4" w:space="0" w:color="auto"/>
            </w:tcBorders>
          </w:tcPr>
          <w:p w:rsidR="00CB7527" w:rsidRDefault="00CB7527" w:rsidP="00A11523">
            <w:pPr>
              <w:spacing w:after="120" w:line="360" w:lineRule="auto"/>
              <w:ind w:left="17"/>
              <w:contextualSpacing/>
              <w:jc w:val="both"/>
              <w:rPr>
                <w:rFonts w:ascii="Calibri" w:eastAsia="Calibri" w:hAnsi="Calibri" w:cs="Times New Roman"/>
                <w:lang w:val="en-US"/>
              </w:rPr>
            </w:pPr>
          </w:p>
        </w:tc>
      </w:tr>
      <w:tr w:rsidR="00B32D7E" w:rsidRPr="00B32D7E" w:rsidTr="002319F0">
        <w:trPr>
          <w:trHeight w:val="1266"/>
        </w:trPr>
        <w:tc>
          <w:tcPr>
            <w:tcW w:w="9226" w:type="dxa"/>
            <w:tcBorders>
              <w:top w:val="dotted" w:sz="4" w:space="0" w:color="auto"/>
              <w:left w:val="dotted" w:sz="4" w:space="0" w:color="auto"/>
              <w:bottom w:val="dotted" w:sz="4" w:space="0" w:color="auto"/>
              <w:right w:val="dotted" w:sz="4" w:space="0" w:color="auto"/>
            </w:tcBorders>
          </w:tcPr>
          <w:p w:rsidR="00023199" w:rsidRPr="00B32D7E" w:rsidRDefault="002319F0" w:rsidP="00DC6941">
            <w:pPr>
              <w:spacing w:after="120" w:line="360" w:lineRule="auto"/>
              <w:jc w:val="both"/>
              <w:rPr>
                <w:rFonts w:ascii="Calibri" w:eastAsia="Times New Roman" w:hAnsi="Calibri" w:cs="Times New Roman"/>
                <w:lang w:val="en-GB"/>
              </w:rPr>
            </w:pPr>
            <w:r>
              <w:rPr>
                <w:rFonts w:ascii="Calibri" w:eastAsia="Calibri" w:hAnsi="Calibri" w:cs="Times New Roman"/>
                <w:lang w:val="en-US"/>
              </w:rPr>
              <w:lastRenderedPageBreak/>
              <w:t>7</w:t>
            </w:r>
            <w:r w:rsidR="00676E4C">
              <w:rPr>
                <w:rFonts w:ascii="Calibri" w:eastAsia="Calibri" w:hAnsi="Calibri" w:cs="Times New Roman"/>
                <w:lang w:val="en-US"/>
              </w:rPr>
              <w:t xml:space="preserve">. </w:t>
            </w:r>
            <w:r w:rsidR="00DC6941" w:rsidRPr="007D6DF0">
              <w:rPr>
                <w:rFonts w:ascii="Calibri" w:eastAsia="Calibri" w:hAnsi="Calibri" w:cs="Times New Roman"/>
                <w:lang w:val="en-US"/>
              </w:rPr>
              <w:t xml:space="preserve">If funding is </w:t>
            </w:r>
            <w:r w:rsidR="007D6DF0" w:rsidRPr="007D6DF0">
              <w:rPr>
                <w:rFonts w:ascii="Calibri" w:eastAsia="Calibri" w:hAnsi="Calibri" w:cs="Times New Roman"/>
                <w:lang w:val="en-US"/>
              </w:rPr>
              <w:t xml:space="preserve">limited, </w:t>
            </w:r>
            <w:r w:rsidR="00DC6941" w:rsidRPr="007D6DF0">
              <w:rPr>
                <w:rFonts w:ascii="Calibri" w:eastAsia="Calibri" w:hAnsi="Calibri" w:cs="Times New Roman"/>
                <w:lang w:val="en-US"/>
              </w:rPr>
              <w:t xml:space="preserve">what parts of the </w:t>
            </w:r>
            <w:r w:rsidR="00676E4C">
              <w:rPr>
                <w:rFonts w:ascii="Calibri" w:eastAsia="Calibri" w:hAnsi="Calibri" w:cs="Times New Roman"/>
                <w:lang w:val="en-US"/>
              </w:rPr>
              <w:t xml:space="preserve">rail </w:t>
            </w:r>
            <w:r w:rsidR="00DC6941" w:rsidRPr="007D6DF0">
              <w:rPr>
                <w:rFonts w:ascii="Calibri" w:eastAsia="Calibri" w:hAnsi="Calibri" w:cs="Times New Roman"/>
                <w:lang w:val="en-US"/>
              </w:rPr>
              <w:t xml:space="preserve">network </w:t>
            </w:r>
            <w:r w:rsidR="007D6DF0" w:rsidRPr="007D6DF0">
              <w:rPr>
                <w:rFonts w:ascii="Calibri" w:eastAsia="Times New Roman" w:hAnsi="Calibri" w:cs="Times New Roman"/>
                <w:lang w:val="en-GB"/>
              </w:rPr>
              <w:t>(DART, Dublin Commuter Services, Intercity Services, Cork Commuter Services, Regional services)</w:t>
            </w:r>
            <w:r w:rsidR="00676E4C">
              <w:rPr>
                <w:rFonts w:ascii="Calibri" w:eastAsia="Times New Roman" w:hAnsi="Calibri" w:cs="Times New Roman"/>
                <w:lang w:val="en-GB"/>
              </w:rPr>
              <w:t xml:space="preserve"> do you consider</w:t>
            </w:r>
            <w:r w:rsidR="007D6DF0">
              <w:rPr>
                <w:rFonts w:ascii="Calibri" w:eastAsia="Times New Roman" w:hAnsi="Calibri" w:cs="Times New Roman"/>
                <w:lang w:val="en-GB"/>
              </w:rPr>
              <w:t xml:space="preserve"> </w:t>
            </w:r>
            <w:r w:rsidR="00DC6941" w:rsidRPr="007D6DF0">
              <w:rPr>
                <w:rFonts w:ascii="Calibri" w:eastAsia="Calibri" w:hAnsi="Calibri" w:cs="Times New Roman"/>
                <w:lang w:val="en-US"/>
              </w:rPr>
              <w:t>should be prioritized for funding</w:t>
            </w:r>
            <w:r w:rsidR="007D6DF0">
              <w:rPr>
                <w:rFonts w:ascii="Calibri" w:eastAsia="Calibri" w:hAnsi="Calibri" w:cs="Times New Roman"/>
                <w:lang w:val="en-US"/>
              </w:rPr>
              <w:t>? W</w:t>
            </w:r>
            <w:r w:rsidR="00DC6941" w:rsidRPr="007D6DF0">
              <w:rPr>
                <w:rFonts w:ascii="Calibri" w:eastAsia="Calibri" w:hAnsi="Calibri" w:cs="Times New Roman"/>
                <w:lang w:val="en-US"/>
              </w:rPr>
              <w:t>hy?</w:t>
            </w:r>
            <w:r w:rsidR="006F22E0" w:rsidRPr="007D6DF0">
              <w:rPr>
                <w:rFonts w:ascii="Calibri" w:eastAsia="Calibri" w:hAnsi="Calibri" w:cs="Times New Roman"/>
                <w:lang w:val="en-US"/>
              </w:rPr>
              <w:t xml:space="preserve"> </w:t>
            </w:r>
          </w:p>
        </w:tc>
      </w:tr>
      <w:tr w:rsidR="00CB7527" w:rsidRPr="00B32D7E" w:rsidTr="000A03CB">
        <w:trPr>
          <w:trHeight w:val="410"/>
        </w:trPr>
        <w:tc>
          <w:tcPr>
            <w:tcW w:w="9226" w:type="dxa"/>
            <w:tcBorders>
              <w:top w:val="dotted" w:sz="4" w:space="0" w:color="auto"/>
              <w:left w:val="dotted" w:sz="4" w:space="0" w:color="auto"/>
              <w:bottom w:val="dotted" w:sz="4" w:space="0" w:color="auto"/>
              <w:right w:val="dotted" w:sz="4" w:space="0" w:color="auto"/>
            </w:tcBorders>
          </w:tcPr>
          <w:p w:rsidR="00CB7527" w:rsidRDefault="00CB7527" w:rsidP="00687092">
            <w:pPr>
              <w:spacing w:after="120" w:line="360" w:lineRule="auto"/>
              <w:jc w:val="both"/>
              <w:rPr>
                <w:rFonts w:ascii="Calibri" w:eastAsia="Times New Roman" w:hAnsi="Calibri" w:cs="Times New Roman"/>
                <w:lang w:val="en-GB"/>
              </w:rPr>
            </w:pPr>
          </w:p>
          <w:p w:rsidR="002319F0" w:rsidRDefault="002319F0" w:rsidP="00687092">
            <w:pPr>
              <w:spacing w:after="120" w:line="360" w:lineRule="auto"/>
              <w:jc w:val="both"/>
              <w:rPr>
                <w:rFonts w:ascii="Calibri" w:eastAsia="Times New Roman" w:hAnsi="Calibri" w:cs="Times New Roman"/>
                <w:lang w:val="en-GB"/>
              </w:rPr>
            </w:pPr>
          </w:p>
          <w:p w:rsidR="002319F0" w:rsidRDefault="002319F0" w:rsidP="00687092">
            <w:pPr>
              <w:spacing w:after="120" w:line="360" w:lineRule="auto"/>
              <w:jc w:val="both"/>
              <w:rPr>
                <w:rFonts w:ascii="Calibri" w:eastAsia="Times New Roman" w:hAnsi="Calibri" w:cs="Times New Roman"/>
                <w:lang w:val="en-GB"/>
              </w:rPr>
            </w:pPr>
          </w:p>
          <w:p w:rsidR="002319F0" w:rsidRDefault="002319F0" w:rsidP="00687092">
            <w:pPr>
              <w:spacing w:after="120" w:line="360" w:lineRule="auto"/>
              <w:jc w:val="both"/>
              <w:rPr>
                <w:rFonts w:ascii="Calibri" w:eastAsia="Times New Roman" w:hAnsi="Calibri" w:cs="Times New Roman"/>
                <w:lang w:val="en-GB"/>
              </w:rPr>
            </w:pPr>
          </w:p>
          <w:p w:rsidR="002319F0" w:rsidRPr="00B32D7E" w:rsidRDefault="002319F0" w:rsidP="00687092">
            <w:pPr>
              <w:spacing w:after="120" w:line="360" w:lineRule="auto"/>
              <w:jc w:val="both"/>
              <w:rPr>
                <w:rFonts w:ascii="Calibri" w:eastAsia="Times New Roman" w:hAnsi="Calibri" w:cs="Times New Roman"/>
                <w:lang w:val="en-GB"/>
              </w:rPr>
            </w:pPr>
          </w:p>
        </w:tc>
      </w:tr>
      <w:tr w:rsidR="00CB7527" w:rsidRPr="00B32D7E" w:rsidTr="002319F0">
        <w:trPr>
          <w:trHeight w:val="812"/>
        </w:trPr>
        <w:tc>
          <w:tcPr>
            <w:tcW w:w="9226" w:type="dxa"/>
            <w:tcBorders>
              <w:top w:val="dotted" w:sz="4" w:space="0" w:color="auto"/>
              <w:left w:val="dotted" w:sz="4" w:space="0" w:color="auto"/>
              <w:bottom w:val="dotted" w:sz="4" w:space="0" w:color="auto"/>
              <w:right w:val="dotted" w:sz="4" w:space="0" w:color="auto"/>
            </w:tcBorders>
          </w:tcPr>
          <w:p w:rsidR="00CB7527" w:rsidRDefault="002319F0" w:rsidP="00CB7527">
            <w:pPr>
              <w:spacing w:after="120" w:line="360" w:lineRule="auto"/>
              <w:jc w:val="both"/>
              <w:rPr>
                <w:rFonts w:ascii="Calibri" w:eastAsia="Times New Roman" w:hAnsi="Calibri" w:cs="Times New Roman"/>
                <w:lang w:val="en-GB"/>
              </w:rPr>
            </w:pPr>
            <w:r>
              <w:rPr>
                <w:rFonts w:ascii="Calibri" w:eastAsia="Times New Roman" w:hAnsi="Calibri" w:cs="Times New Roman"/>
                <w:lang w:val="en-GB"/>
              </w:rPr>
              <w:t>8</w:t>
            </w:r>
            <w:r w:rsidR="00CB7527">
              <w:rPr>
                <w:rFonts w:ascii="Calibri" w:eastAsia="Times New Roman" w:hAnsi="Calibri" w:cs="Times New Roman"/>
                <w:lang w:val="en-GB"/>
              </w:rPr>
              <w:t>. What is your opinion on the relative advantages of rail and of bus in providing the core public transport service in regions of low population density? Why?</w:t>
            </w:r>
          </w:p>
          <w:p w:rsidR="00CB7527" w:rsidRPr="00B32D7E" w:rsidRDefault="00CB7527" w:rsidP="00687092">
            <w:pPr>
              <w:spacing w:after="120" w:line="360" w:lineRule="auto"/>
              <w:jc w:val="both"/>
              <w:rPr>
                <w:rFonts w:ascii="Calibri" w:eastAsia="Times New Roman" w:hAnsi="Calibri" w:cs="Times New Roman"/>
                <w:lang w:val="en-GB"/>
              </w:rPr>
            </w:pPr>
          </w:p>
        </w:tc>
      </w:tr>
      <w:tr w:rsidR="00CB7527" w:rsidRPr="00B32D7E" w:rsidTr="002319F0">
        <w:trPr>
          <w:trHeight w:val="2761"/>
        </w:trPr>
        <w:tc>
          <w:tcPr>
            <w:tcW w:w="9226" w:type="dxa"/>
            <w:tcBorders>
              <w:top w:val="dotted" w:sz="4" w:space="0" w:color="auto"/>
              <w:left w:val="dotted" w:sz="4" w:space="0" w:color="auto"/>
              <w:bottom w:val="dotted" w:sz="4" w:space="0" w:color="auto"/>
              <w:right w:val="dotted" w:sz="4" w:space="0" w:color="auto"/>
            </w:tcBorders>
          </w:tcPr>
          <w:p w:rsidR="00CB7527" w:rsidRPr="00B32D7E" w:rsidRDefault="00CB7527" w:rsidP="00687092">
            <w:pPr>
              <w:spacing w:after="120" w:line="360" w:lineRule="auto"/>
              <w:jc w:val="both"/>
              <w:rPr>
                <w:rFonts w:ascii="Calibri" w:eastAsia="Times New Roman" w:hAnsi="Calibri" w:cs="Times New Roman"/>
                <w:lang w:val="en-GB"/>
              </w:rPr>
            </w:pPr>
          </w:p>
        </w:tc>
      </w:tr>
      <w:tr w:rsidR="00CB7527" w:rsidRPr="00B32D7E" w:rsidTr="002871EA">
        <w:trPr>
          <w:trHeight w:val="1580"/>
        </w:trPr>
        <w:tc>
          <w:tcPr>
            <w:tcW w:w="9226" w:type="dxa"/>
            <w:tcBorders>
              <w:top w:val="dotted" w:sz="4" w:space="0" w:color="auto"/>
              <w:left w:val="dotted" w:sz="4" w:space="0" w:color="auto"/>
              <w:bottom w:val="dotted" w:sz="4" w:space="0" w:color="auto"/>
              <w:right w:val="dotted" w:sz="4" w:space="0" w:color="auto"/>
            </w:tcBorders>
          </w:tcPr>
          <w:p w:rsidR="002319F0" w:rsidRPr="00B32D7E" w:rsidRDefault="002319F0" w:rsidP="002319F0">
            <w:pPr>
              <w:spacing w:after="120" w:line="360" w:lineRule="auto"/>
              <w:jc w:val="both"/>
              <w:rPr>
                <w:rFonts w:ascii="Calibri" w:eastAsia="Times New Roman" w:hAnsi="Calibri" w:cs="Times New Roman"/>
                <w:lang w:val="en-GB"/>
              </w:rPr>
            </w:pPr>
            <w:r>
              <w:rPr>
                <w:rFonts w:ascii="Calibri" w:eastAsia="Times New Roman" w:hAnsi="Calibri" w:cs="Times New Roman"/>
                <w:lang w:val="en-GB"/>
              </w:rPr>
              <w:t xml:space="preserve">9. How do you think the rail funding gap should best be addressed for the future? You may wish to include some or all of the following:  reducing costs (through further efficiencies </w:t>
            </w:r>
            <w:r w:rsidR="008F7773">
              <w:rPr>
                <w:rFonts w:ascii="Calibri" w:eastAsia="Times New Roman" w:hAnsi="Calibri" w:cs="Times New Roman"/>
                <w:lang w:val="en-GB"/>
              </w:rPr>
              <w:t>and/</w:t>
            </w:r>
            <w:r>
              <w:rPr>
                <w:rFonts w:ascii="Calibri" w:eastAsia="Times New Roman" w:hAnsi="Calibri" w:cs="Times New Roman"/>
                <w:lang w:val="en-GB"/>
              </w:rPr>
              <w:t>or reducing the size of the network)</w:t>
            </w:r>
            <w:r w:rsidR="008F7773">
              <w:rPr>
                <w:rFonts w:ascii="Calibri" w:eastAsia="Times New Roman" w:hAnsi="Calibri" w:cs="Times New Roman"/>
                <w:lang w:val="en-GB"/>
              </w:rPr>
              <w:t>,</w:t>
            </w:r>
            <w:r>
              <w:rPr>
                <w:rFonts w:ascii="Calibri" w:eastAsia="Times New Roman" w:hAnsi="Calibri" w:cs="Times New Roman"/>
                <w:lang w:val="en-GB"/>
              </w:rPr>
              <w:t xml:space="preserve"> increasing revenues (e.g. through fare increases </w:t>
            </w:r>
            <w:r w:rsidR="008F7773">
              <w:rPr>
                <w:rFonts w:ascii="Calibri" w:eastAsia="Times New Roman" w:hAnsi="Calibri" w:cs="Times New Roman"/>
                <w:lang w:val="en-GB"/>
              </w:rPr>
              <w:t>and/</w:t>
            </w:r>
            <w:r>
              <w:rPr>
                <w:rFonts w:ascii="Calibri" w:eastAsia="Times New Roman" w:hAnsi="Calibri" w:cs="Times New Roman"/>
                <w:lang w:val="en-GB"/>
              </w:rPr>
              <w:t xml:space="preserve">or Government taxes </w:t>
            </w:r>
            <w:r w:rsidR="008F7773">
              <w:rPr>
                <w:rFonts w:ascii="Calibri" w:eastAsia="Times New Roman" w:hAnsi="Calibri" w:cs="Times New Roman"/>
                <w:lang w:val="en-GB"/>
              </w:rPr>
              <w:t>and/</w:t>
            </w:r>
            <w:r>
              <w:rPr>
                <w:rFonts w:ascii="Calibri" w:eastAsia="Times New Roman" w:hAnsi="Calibri" w:cs="Times New Roman"/>
                <w:lang w:val="en-GB"/>
              </w:rPr>
              <w:t>or other investment). Try to be specific in your suggestions.</w:t>
            </w:r>
          </w:p>
          <w:p w:rsidR="00CB7527" w:rsidRPr="00B32D7E" w:rsidRDefault="00CB7527" w:rsidP="00687092">
            <w:pPr>
              <w:spacing w:after="120" w:line="360" w:lineRule="auto"/>
              <w:jc w:val="both"/>
              <w:rPr>
                <w:rFonts w:ascii="Calibri" w:eastAsia="Times New Roman" w:hAnsi="Calibri" w:cs="Times New Roman"/>
                <w:lang w:val="en-GB"/>
              </w:rPr>
            </w:pPr>
          </w:p>
        </w:tc>
      </w:tr>
      <w:tr w:rsidR="002319F0" w:rsidRPr="00B32D7E" w:rsidTr="002871EA">
        <w:trPr>
          <w:trHeight w:val="274"/>
        </w:trPr>
        <w:tc>
          <w:tcPr>
            <w:tcW w:w="9226" w:type="dxa"/>
            <w:tcBorders>
              <w:top w:val="dotted" w:sz="4" w:space="0" w:color="auto"/>
              <w:left w:val="dotted" w:sz="4" w:space="0" w:color="auto"/>
              <w:bottom w:val="dotted" w:sz="4" w:space="0" w:color="auto"/>
              <w:right w:val="dotted" w:sz="4" w:space="0" w:color="auto"/>
            </w:tcBorders>
          </w:tcPr>
          <w:p w:rsidR="002319F0" w:rsidRDefault="002319F0" w:rsidP="00687092">
            <w:pPr>
              <w:spacing w:after="120" w:line="360" w:lineRule="auto"/>
              <w:jc w:val="both"/>
              <w:rPr>
                <w:rFonts w:ascii="Calibri" w:eastAsia="Times New Roman" w:hAnsi="Calibri" w:cs="Times New Roman"/>
                <w:lang w:val="en-GB"/>
              </w:rPr>
            </w:pPr>
          </w:p>
          <w:p w:rsidR="002319F0" w:rsidRDefault="002319F0" w:rsidP="00687092">
            <w:pPr>
              <w:spacing w:after="120" w:line="360" w:lineRule="auto"/>
              <w:jc w:val="both"/>
              <w:rPr>
                <w:rFonts w:ascii="Calibri" w:eastAsia="Times New Roman" w:hAnsi="Calibri" w:cs="Times New Roman"/>
                <w:lang w:val="en-GB"/>
              </w:rPr>
            </w:pPr>
          </w:p>
          <w:p w:rsidR="002871EA" w:rsidRDefault="002871EA" w:rsidP="00687092">
            <w:pPr>
              <w:spacing w:after="120" w:line="360" w:lineRule="auto"/>
              <w:jc w:val="both"/>
              <w:rPr>
                <w:rFonts w:ascii="Calibri" w:eastAsia="Times New Roman" w:hAnsi="Calibri" w:cs="Times New Roman"/>
                <w:lang w:val="en-GB"/>
              </w:rPr>
            </w:pPr>
          </w:p>
          <w:p w:rsidR="002871EA" w:rsidRDefault="002871EA" w:rsidP="00687092">
            <w:pPr>
              <w:spacing w:after="120" w:line="360" w:lineRule="auto"/>
              <w:jc w:val="both"/>
              <w:rPr>
                <w:rFonts w:ascii="Calibri" w:eastAsia="Times New Roman" w:hAnsi="Calibri" w:cs="Times New Roman"/>
                <w:lang w:val="en-GB"/>
              </w:rPr>
            </w:pPr>
          </w:p>
          <w:p w:rsidR="002871EA" w:rsidRPr="00B32D7E" w:rsidRDefault="002871EA" w:rsidP="00687092">
            <w:pPr>
              <w:spacing w:after="120" w:line="360" w:lineRule="auto"/>
              <w:jc w:val="both"/>
              <w:rPr>
                <w:rFonts w:ascii="Calibri" w:eastAsia="Times New Roman" w:hAnsi="Calibri" w:cs="Times New Roman"/>
                <w:lang w:val="en-GB"/>
              </w:rPr>
            </w:pPr>
          </w:p>
        </w:tc>
      </w:tr>
    </w:tbl>
    <w:p w:rsidR="002871EA" w:rsidRDefault="002871EA">
      <w:r>
        <w:br w:type="page"/>
      </w:r>
    </w:p>
    <w:tbl>
      <w:tblPr>
        <w:tblW w:w="9226"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26"/>
      </w:tblGrid>
      <w:tr w:rsidR="002319F0" w:rsidRPr="00B32D7E" w:rsidTr="000A03CB">
        <w:trPr>
          <w:trHeight w:val="410"/>
        </w:trPr>
        <w:tc>
          <w:tcPr>
            <w:tcW w:w="9226" w:type="dxa"/>
            <w:tcBorders>
              <w:top w:val="dotted" w:sz="4" w:space="0" w:color="auto"/>
              <w:left w:val="dotted" w:sz="4" w:space="0" w:color="auto"/>
              <w:bottom w:val="dotted" w:sz="4" w:space="0" w:color="auto"/>
              <w:right w:val="dotted" w:sz="4" w:space="0" w:color="auto"/>
            </w:tcBorders>
          </w:tcPr>
          <w:p w:rsidR="008F7773" w:rsidRDefault="002319F0" w:rsidP="008F7773">
            <w:pPr>
              <w:spacing w:after="120" w:line="360" w:lineRule="auto"/>
              <w:jc w:val="both"/>
              <w:rPr>
                <w:rFonts w:ascii="Calibri" w:eastAsia="Times New Roman" w:hAnsi="Calibri" w:cs="Times New Roman"/>
                <w:lang w:val="en-GB"/>
              </w:rPr>
            </w:pPr>
            <w:r>
              <w:rPr>
                <w:rFonts w:ascii="Calibri" w:eastAsia="Times New Roman" w:hAnsi="Calibri" w:cs="Times New Roman"/>
                <w:lang w:val="en-GB"/>
              </w:rPr>
              <w:lastRenderedPageBreak/>
              <w:t xml:space="preserve">10. </w:t>
            </w:r>
            <w:r w:rsidRPr="00B32D7E">
              <w:rPr>
                <w:rFonts w:ascii="Calibri" w:eastAsia="Times New Roman" w:hAnsi="Calibri" w:cs="Times New Roman"/>
                <w:lang w:val="en-GB"/>
              </w:rPr>
              <w:t xml:space="preserve">  </w:t>
            </w:r>
            <w:r>
              <w:rPr>
                <w:rFonts w:ascii="Calibri" w:eastAsia="Times New Roman" w:hAnsi="Calibri" w:cs="Times New Roman"/>
                <w:lang w:val="en-GB"/>
              </w:rPr>
              <w:t xml:space="preserve">The social benefits of rail travel </w:t>
            </w:r>
            <w:r w:rsidR="008F7773">
              <w:rPr>
                <w:rFonts w:ascii="Calibri" w:eastAsia="Times New Roman" w:hAnsi="Calibri" w:cs="Times New Roman"/>
                <w:lang w:val="en-GB"/>
              </w:rPr>
              <w:t>justify the funding of rail</w:t>
            </w:r>
            <w:r>
              <w:rPr>
                <w:rFonts w:ascii="Calibri" w:eastAsia="Times New Roman" w:hAnsi="Calibri" w:cs="Times New Roman"/>
                <w:lang w:val="en-GB"/>
              </w:rPr>
              <w:t xml:space="preserve"> by a combination of Government subsidy and fares.  What is in your view the acceptable level of subsidy per person-trip? </w:t>
            </w:r>
            <w:r w:rsidR="008F7773">
              <w:rPr>
                <w:rFonts w:ascii="Calibri" w:eastAsia="Times New Roman" w:hAnsi="Calibri" w:cs="Times New Roman"/>
                <w:lang w:val="en-GB"/>
              </w:rPr>
              <w:t>Why?</w:t>
            </w:r>
          </w:p>
          <w:p w:rsidR="002319F0" w:rsidRDefault="002319F0" w:rsidP="002319F0">
            <w:pPr>
              <w:spacing w:after="120" w:line="360" w:lineRule="auto"/>
              <w:jc w:val="both"/>
              <w:rPr>
                <w:rFonts w:ascii="Calibri" w:eastAsia="Times New Roman" w:hAnsi="Calibri" w:cs="Times New Roman"/>
                <w:lang w:val="en-GB"/>
              </w:rPr>
            </w:pPr>
          </w:p>
          <w:p w:rsidR="002319F0" w:rsidRPr="00B32D7E" w:rsidRDefault="002319F0">
            <w:pPr>
              <w:spacing w:after="120" w:line="360" w:lineRule="auto"/>
              <w:jc w:val="both"/>
              <w:rPr>
                <w:rFonts w:ascii="Calibri" w:eastAsia="Times New Roman" w:hAnsi="Calibri" w:cs="Times New Roman"/>
                <w:lang w:val="en-GB"/>
              </w:rPr>
            </w:pPr>
          </w:p>
        </w:tc>
      </w:tr>
      <w:tr w:rsidR="002319F0" w:rsidRPr="00B32D7E" w:rsidTr="002319F0">
        <w:trPr>
          <w:trHeight w:val="2867"/>
        </w:trPr>
        <w:tc>
          <w:tcPr>
            <w:tcW w:w="9226" w:type="dxa"/>
            <w:tcBorders>
              <w:top w:val="dotted" w:sz="4" w:space="0" w:color="auto"/>
              <w:left w:val="dotted" w:sz="4" w:space="0" w:color="auto"/>
              <w:bottom w:val="dotted" w:sz="4" w:space="0" w:color="auto"/>
              <w:right w:val="dotted" w:sz="4" w:space="0" w:color="auto"/>
            </w:tcBorders>
          </w:tcPr>
          <w:p w:rsidR="002319F0" w:rsidRPr="00B32D7E" w:rsidRDefault="002319F0" w:rsidP="00687092">
            <w:pPr>
              <w:spacing w:after="120" w:line="360" w:lineRule="auto"/>
              <w:jc w:val="both"/>
              <w:rPr>
                <w:rFonts w:ascii="Calibri" w:eastAsia="Times New Roman" w:hAnsi="Calibri" w:cs="Times New Roman"/>
                <w:lang w:val="en-GB"/>
              </w:rPr>
            </w:pPr>
          </w:p>
        </w:tc>
      </w:tr>
      <w:tr w:rsidR="00B32D7E" w:rsidRPr="00B32D7E" w:rsidTr="000A03CB">
        <w:trPr>
          <w:trHeight w:val="410"/>
        </w:trPr>
        <w:tc>
          <w:tcPr>
            <w:tcW w:w="9226" w:type="dxa"/>
            <w:tcBorders>
              <w:top w:val="dotted" w:sz="4" w:space="0" w:color="auto"/>
              <w:left w:val="dotted" w:sz="4" w:space="0" w:color="auto"/>
              <w:bottom w:val="dotted" w:sz="4" w:space="0" w:color="auto"/>
              <w:right w:val="dotted" w:sz="4" w:space="0" w:color="auto"/>
            </w:tcBorders>
          </w:tcPr>
          <w:p w:rsidR="008F7773" w:rsidRDefault="002319F0" w:rsidP="008F7773">
            <w:pPr>
              <w:spacing w:after="120" w:line="360" w:lineRule="auto"/>
              <w:jc w:val="both"/>
            </w:pPr>
            <w:r>
              <w:rPr>
                <w:rFonts w:ascii="Calibri" w:eastAsia="Times New Roman" w:hAnsi="Calibri" w:cs="Times New Roman"/>
                <w:lang w:val="en-GB"/>
              </w:rPr>
              <w:t>11</w:t>
            </w:r>
            <w:r w:rsidR="00687092">
              <w:rPr>
                <w:rFonts w:ascii="Calibri" w:eastAsia="Times New Roman" w:hAnsi="Calibri" w:cs="Times New Roman"/>
                <w:lang w:val="en-GB"/>
              </w:rPr>
              <w:t xml:space="preserve">. Should that value differ depending of the type of geographic market served, e.g. urban, intercity or regional / rural rail markets? </w:t>
            </w:r>
            <w:r w:rsidR="00D60F10" w:rsidRPr="00B32D7E">
              <w:t xml:space="preserve"> </w:t>
            </w:r>
            <w:r w:rsidR="008F7773">
              <w:t>Why?</w:t>
            </w:r>
          </w:p>
          <w:p w:rsidR="00687092" w:rsidRDefault="00687092" w:rsidP="00687092">
            <w:pPr>
              <w:spacing w:after="120" w:line="360" w:lineRule="auto"/>
              <w:jc w:val="both"/>
            </w:pPr>
          </w:p>
          <w:p w:rsidR="00DC6941" w:rsidRPr="00B32D7E" w:rsidRDefault="00DC6941">
            <w:pPr>
              <w:spacing w:after="120" w:line="360" w:lineRule="auto"/>
              <w:jc w:val="both"/>
              <w:rPr>
                <w:rFonts w:ascii="Calibri" w:eastAsia="Times New Roman" w:hAnsi="Calibri" w:cs="Times New Roman"/>
                <w:lang w:val="en-GB"/>
              </w:rPr>
            </w:pPr>
          </w:p>
        </w:tc>
      </w:tr>
      <w:tr w:rsidR="00B32D7E" w:rsidRPr="00B32D7E" w:rsidTr="002871EA">
        <w:trPr>
          <w:trHeight w:val="2639"/>
        </w:trPr>
        <w:tc>
          <w:tcPr>
            <w:tcW w:w="9226" w:type="dxa"/>
            <w:tcBorders>
              <w:top w:val="dotted" w:sz="4" w:space="0" w:color="auto"/>
              <w:left w:val="dotted" w:sz="4" w:space="0" w:color="auto"/>
              <w:bottom w:val="dotted" w:sz="4" w:space="0" w:color="auto"/>
              <w:right w:val="dotted" w:sz="4" w:space="0" w:color="auto"/>
            </w:tcBorders>
          </w:tcPr>
          <w:p w:rsidR="00DC6941" w:rsidRPr="00B32D7E" w:rsidRDefault="00DC6941" w:rsidP="00DC6941">
            <w:pPr>
              <w:spacing w:after="120" w:line="360" w:lineRule="auto"/>
              <w:jc w:val="both"/>
              <w:rPr>
                <w:rFonts w:ascii="Calibri" w:eastAsia="Times New Roman" w:hAnsi="Calibri" w:cs="Times New Roman"/>
                <w:lang w:val="en-GB"/>
              </w:rPr>
            </w:pPr>
          </w:p>
          <w:p w:rsidR="00DC6941" w:rsidRPr="00B32D7E" w:rsidRDefault="00DC6941" w:rsidP="00DC6941">
            <w:pPr>
              <w:spacing w:after="120" w:line="360" w:lineRule="auto"/>
              <w:jc w:val="both"/>
              <w:rPr>
                <w:rFonts w:ascii="Calibri" w:eastAsia="Times New Roman" w:hAnsi="Calibri" w:cs="Times New Roman"/>
                <w:lang w:val="en-GB"/>
              </w:rPr>
            </w:pPr>
          </w:p>
          <w:p w:rsidR="00DC6941" w:rsidRPr="00B32D7E" w:rsidRDefault="00DC6941" w:rsidP="00DC6941">
            <w:pPr>
              <w:spacing w:after="120" w:line="360" w:lineRule="auto"/>
              <w:jc w:val="both"/>
              <w:rPr>
                <w:rFonts w:ascii="Calibri" w:eastAsia="Times New Roman" w:hAnsi="Calibri" w:cs="Times New Roman"/>
                <w:lang w:val="en-GB"/>
              </w:rPr>
            </w:pPr>
          </w:p>
          <w:p w:rsidR="00E32814" w:rsidRPr="00B32D7E" w:rsidRDefault="00E32814" w:rsidP="00DC6941">
            <w:pPr>
              <w:spacing w:after="120" w:line="360" w:lineRule="auto"/>
              <w:jc w:val="both"/>
              <w:rPr>
                <w:rFonts w:ascii="Calibri" w:eastAsia="Times New Roman" w:hAnsi="Calibri" w:cs="Times New Roman"/>
                <w:lang w:val="en-GB"/>
              </w:rPr>
            </w:pPr>
          </w:p>
          <w:p w:rsidR="00E32814" w:rsidRPr="00B32D7E" w:rsidRDefault="00E32814" w:rsidP="00DC6941">
            <w:pPr>
              <w:spacing w:after="120" w:line="360" w:lineRule="auto"/>
              <w:jc w:val="both"/>
              <w:rPr>
                <w:rFonts w:ascii="Calibri" w:eastAsia="Times New Roman" w:hAnsi="Calibri" w:cs="Times New Roman"/>
                <w:lang w:val="en-GB"/>
              </w:rPr>
            </w:pPr>
          </w:p>
        </w:tc>
      </w:tr>
      <w:tr w:rsidR="00B32D7E" w:rsidRPr="00B32D7E" w:rsidTr="000A03CB">
        <w:trPr>
          <w:trHeight w:val="805"/>
        </w:trPr>
        <w:tc>
          <w:tcPr>
            <w:tcW w:w="9226" w:type="dxa"/>
            <w:tcBorders>
              <w:top w:val="dotted" w:sz="4" w:space="0" w:color="auto"/>
              <w:left w:val="dotted" w:sz="4" w:space="0" w:color="auto"/>
              <w:bottom w:val="dotted" w:sz="4" w:space="0" w:color="auto"/>
              <w:right w:val="dotted" w:sz="4" w:space="0" w:color="auto"/>
            </w:tcBorders>
          </w:tcPr>
          <w:p w:rsidR="00DC6941" w:rsidRPr="00B32D7E" w:rsidRDefault="002319F0" w:rsidP="008F7773">
            <w:pPr>
              <w:spacing w:after="120" w:line="360" w:lineRule="auto"/>
              <w:jc w:val="both"/>
              <w:rPr>
                <w:rFonts w:ascii="Calibri" w:eastAsia="Times New Roman" w:hAnsi="Calibri" w:cs="Times New Roman"/>
                <w:lang w:val="en-GB"/>
              </w:rPr>
            </w:pPr>
            <w:r>
              <w:rPr>
                <w:rFonts w:ascii="Calibri" w:eastAsia="Times New Roman" w:hAnsi="Calibri" w:cs="Times New Roman"/>
                <w:lang w:val="en-GB"/>
              </w:rPr>
              <w:t>12</w:t>
            </w:r>
            <w:r w:rsidR="00DC6941" w:rsidRPr="00B32D7E">
              <w:rPr>
                <w:rFonts w:ascii="Calibri" w:eastAsia="Times New Roman" w:hAnsi="Calibri" w:cs="Times New Roman"/>
                <w:lang w:val="en-GB"/>
              </w:rPr>
              <w:t xml:space="preserve">.  </w:t>
            </w:r>
            <w:r w:rsidR="007134A2" w:rsidRPr="00B32D7E">
              <w:rPr>
                <w:rFonts w:ascii="Calibri" w:eastAsia="Times New Roman" w:hAnsi="Calibri" w:cs="Times New Roman"/>
                <w:lang w:val="en-GB"/>
              </w:rPr>
              <w:t xml:space="preserve">What are your views on the need for </w:t>
            </w:r>
            <w:r w:rsidR="00347503">
              <w:rPr>
                <w:rFonts w:ascii="Calibri" w:eastAsia="Times New Roman" w:hAnsi="Calibri" w:cs="Times New Roman"/>
                <w:lang w:val="en-GB"/>
              </w:rPr>
              <w:t xml:space="preserve">additional </w:t>
            </w:r>
            <w:r w:rsidR="007134A2" w:rsidRPr="00B32D7E">
              <w:rPr>
                <w:rFonts w:ascii="Calibri" w:eastAsia="Times New Roman" w:hAnsi="Calibri" w:cs="Times New Roman"/>
                <w:lang w:val="en-GB"/>
              </w:rPr>
              <w:t>safety investment as outlined in the Rail Review and what enhancements</w:t>
            </w:r>
            <w:r w:rsidR="00676E4C">
              <w:rPr>
                <w:rFonts w:ascii="Calibri" w:eastAsia="Times New Roman" w:hAnsi="Calibri" w:cs="Times New Roman"/>
                <w:lang w:val="en-GB"/>
              </w:rPr>
              <w:t xml:space="preserve"> do you suggest </w:t>
            </w:r>
            <w:r w:rsidR="007134A2" w:rsidRPr="00B32D7E">
              <w:rPr>
                <w:rFonts w:ascii="Calibri" w:eastAsia="Times New Roman" w:hAnsi="Calibri" w:cs="Times New Roman"/>
                <w:lang w:val="en-GB"/>
              </w:rPr>
              <w:t xml:space="preserve">may be required to </w:t>
            </w:r>
            <w:r w:rsidR="00347503">
              <w:rPr>
                <w:rFonts w:ascii="Calibri" w:eastAsia="Times New Roman" w:hAnsi="Calibri" w:cs="Times New Roman"/>
                <w:lang w:val="en-GB"/>
              </w:rPr>
              <w:t xml:space="preserve">enhance safety and </w:t>
            </w:r>
            <w:r w:rsidR="007134A2" w:rsidRPr="00B32D7E">
              <w:rPr>
                <w:rFonts w:ascii="Calibri" w:eastAsia="Times New Roman" w:hAnsi="Calibri" w:cs="Times New Roman"/>
                <w:lang w:val="en-GB"/>
              </w:rPr>
              <w:t>security</w:t>
            </w:r>
            <w:r w:rsidR="00347503">
              <w:rPr>
                <w:rFonts w:ascii="Calibri" w:eastAsia="Times New Roman" w:hAnsi="Calibri" w:cs="Times New Roman"/>
                <w:lang w:val="en-GB"/>
              </w:rPr>
              <w:t xml:space="preserve"> for passengers</w:t>
            </w:r>
            <w:r w:rsidR="007134A2" w:rsidRPr="00B32D7E">
              <w:rPr>
                <w:rFonts w:ascii="Calibri" w:eastAsia="Times New Roman" w:hAnsi="Calibri" w:cs="Times New Roman"/>
                <w:lang w:val="en-GB"/>
              </w:rPr>
              <w:t>?</w:t>
            </w:r>
            <w:r w:rsidR="001768A4">
              <w:rPr>
                <w:rFonts w:ascii="Calibri" w:eastAsia="Times New Roman" w:hAnsi="Calibri" w:cs="Times New Roman"/>
                <w:lang w:val="en-GB"/>
              </w:rPr>
              <w:t xml:space="preserve"> </w:t>
            </w:r>
          </w:p>
        </w:tc>
      </w:tr>
      <w:tr w:rsidR="00B32D7E" w:rsidRPr="00B32D7E" w:rsidTr="002871EA">
        <w:trPr>
          <w:trHeight w:val="48"/>
        </w:trPr>
        <w:tc>
          <w:tcPr>
            <w:tcW w:w="9226" w:type="dxa"/>
            <w:tcBorders>
              <w:top w:val="dotted" w:sz="4" w:space="0" w:color="auto"/>
              <w:left w:val="dotted" w:sz="4" w:space="0" w:color="auto"/>
              <w:bottom w:val="dotted" w:sz="4" w:space="0" w:color="auto"/>
              <w:right w:val="dotted" w:sz="4" w:space="0" w:color="auto"/>
            </w:tcBorders>
          </w:tcPr>
          <w:p w:rsidR="00DC6941" w:rsidRPr="00B32D7E" w:rsidRDefault="00DC6941" w:rsidP="00DC6941">
            <w:pPr>
              <w:spacing w:after="120" w:line="360" w:lineRule="auto"/>
              <w:jc w:val="both"/>
              <w:rPr>
                <w:rFonts w:ascii="Calibri" w:eastAsia="Times New Roman" w:hAnsi="Calibri" w:cs="Times New Roman"/>
                <w:lang w:val="en-GB"/>
              </w:rPr>
            </w:pPr>
          </w:p>
          <w:p w:rsidR="00DC6941" w:rsidRPr="00B32D7E" w:rsidRDefault="00DC6941" w:rsidP="00DC6941">
            <w:pPr>
              <w:spacing w:after="120" w:line="360" w:lineRule="auto"/>
              <w:jc w:val="both"/>
              <w:rPr>
                <w:rFonts w:ascii="Calibri" w:eastAsia="Times New Roman" w:hAnsi="Calibri" w:cs="Times New Roman"/>
                <w:lang w:val="en-GB"/>
              </w:rPr>
            </w:pPr>
          </w:p>
          <w:p w:rsidR="00DC6941" w:rsidRPr="00B32D7E" w:rsidRDefault="00DC6941" w:rsidP="00DC6941">
            <w:pPr>
              <w:spacing w:after="120" w:line="360" w:lineRule="auto"/>
              <w:jc w:val="both"/>
              <w:rPr>
                <w:rFonts w:ascii="Calibri" w:eastAsia="Times New Roman" w:hAnsi="Calibri" w:cs="Times New Roman"/>
                <w:lang w:val="en-GB"/>
              </w:rPr>
            </w:pPr>
          </w:p>
          <w:p w:rsidR="00DC6941" w:rsidRPr="00B32D7E" w:rsidRDefault="00DC6941" w:rsidP="00DC6941">
            <w:pPr>
              <w:spacing w:after="120" w:line="360" w:lineRule="auto"/>
              <w:jc w:val="both"/>
              <w:rPr>
                <w:rFonts w:ascii="Calibri" w:eastAsia="Times New Roman" w:hAnsi="Calibri" w:cs="Times New Roman"/>
                <w:lang w:val="en-GB"/>
              </w:rPr>
            </w:pPr>
          </w:p>
          <w:p w:rsidR="00E32814" w:rsidRPr="00B32D7E" w:rsidRDefault="00E32814" w:rsidP="00DC6941">
            <w:pPr>
              <w:spacing w:after="120" w:line="360" w:lineRule="auto"/>
              <w:jc w:val="both"/>
              <w:rPr>
                <w:rFonts w:ascii="Calibri" w:eastAsia="Times New Roman" w:hAnsi="Calibri" w:cs="Times New Roman"/>
                <w:lang w:val="en-GB"/>
              </w:rPr>
            </w:pPr>
          </w:p>
          <w:p w:rsidR="00DC6941" w:rsidRPr="00B32D7E" w:rsidRDefault="00DC6941" w:rsidP="00DC6941">
            <w:pPr>
              <w:spacing w:after="120" w:line="360" w:lineRule="auto"/>
              <w:jc w:val="both"/>
              <w:rPr>
                <w:rFonts w:ascii="Calibri" w:eastAsia="Times New Roman" w:hAnsi="Calibri" w:cs="Times New Roman"/>
                <w:lang w:val="en-GB"/>
              </w:rPr>
            </w:pPr>
          </w:p>
        </w:tc>
      </w:tr>
    </w:tbl>
    <w:p w:rsidR="002871EA" w:rsidRDefault="002871EA"/>
    <w:tbl>
      <w:tblPr>
        <w:tblW w:w="9226"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26"/>
      </w:tblGrid>
      <w:tr w:rsidR="00B32D7E" w:rsidRPr="00B32D7E" w:rsidTr="000A03CB">
        <w:trPr>
          <w:trHeight w:val="1327"/>
        </w:trPr>
        <w:tc>
          <w:tcPr>
            <w:tcW w:w="9226" w:type="dxa"/>
            <w:tcBorders>
              <w:top w:val="dotted" w:sz="4" w:space="0" w:color="auto"/>
              <w:left w:val="dotted" w:sz="4" w:space="0" w:color="auto"/>
              <w:bottom w:val="dotted" w:sz="4" w:space="0" w:color="auto"/>
              <w:right w:val="dotted" w:sz="4" w:space="0" w:color="auto"/>
            </w:tcBorders>
          </w:tcPr>
          <w:p w:rsidR="00DC6941" w:rsidRPr="00B32D7E" w:rsidRDefault="002319F0" w:rsidP="00DC6941">
            <w:pPr>
              <w:spacing w:after="120" w:line="360" w:lineRule="auto"/>
              <w:jc w:val="both"/>
              <w:rPr>
                <w:rFonts w:ascii="Calibri" w:eastAsia="Times New Roman" w:hAnsi="Calibri" w:cs="Times New Roman"/>
                <w:lang w:val="en-GB"/>
              </w:rPr>
            </w:pPr>
            <w:r>
              <w:rPr>
                <w:rFonts w:ascii="Calibri" w:eastAsia="Times New Roman" w:hAnsi="Calibri" w:cs="Times New Roman"/>
                <w:lang w:val="en-GB"/>
              </w:rPr>
              <w:t>13</w:t>
            </w:r>
            <w:r w:rsidR="00DC6941" w:rsidRPr="00B32D7E">
              <w:rPr>
                <w:rFonts w:ascii="Calibri" w:eastAsia="Times New Roman" w:hAnsi="Calibri" w:cs="Times New Roman"/>
                <w:lang w:val="en-GB"/>
              </w:rPr>
              <w:t xml:space="preserve">. What specific improvements </w:t>
            </w:r>
            <w:r w:rsidR="00356F36">
              <w:rPr>
                <w:rFonts w:ascii="Calibri" w:eastAsia="Times New Roman" w:hAnsi="Calibri" w:cs="Times New Roman"/>
                <w:lang w:val="en-GB"/>
              </w:rPr>
              <w:t xml:space="preserve">(or other changes) </w:t>
            </w:r>
            <w:r w:rsidR="001768A4">
              <w:rPr>
                <w:rFonts w:ascii="Calibri" w:eastAsia="Times New Roman" w:hAnsi="Calibri" w:cs="Times New Roman"/>
                <w:lang w:val="en-GB"/>
              </w:rPr>
              <w:t xml:space="preserve">to rail services </w:t>
            </w:r>
            <w:r w:rsidR="00DC6941" w:rsidRPr="00B32D7E">
              <w:rPr>
                <w:rFonts w:ascii="Calibri" w:eastAsia="Times New Roman" w:hAnsi="Calibri" w:cs="Times New Roman"/>
                <w:lang w:val="en-GB"/>
              </w:rPr>
              <w:t>would you like to see?</w:t>
            </w:r>
          </w:p>
          <w:p w:rsidR="00DC6941" w:rsidRPr="00B32D7E" w:rsidRDefault="001768A4" w:rsidP="00DC6941">
            <w:pPr>
              <w:numPr>
                <w:ilvl w:val="0"/>
                <w:numId w:val="39"/>
              </w:numPr>
              <w:spacing w:after="120" w:line="360" w:lineRule="auto"/>
              <w:contextualSpacing/>
              <w:jc w:val="both"/>
              <w:rPr>
                <w:rFonts w:ascii="Calibri" w:eastAsia="Calibri" w:hAnsi="Calibri" w:cs="Times New Roman"/>
                <w:u w:val="single"/>
                <w:lang w:val="en-US"/>
              </w:rPr>
            </w:pPr>
            <w:r>
              <w:rPr>
                <w:rFonts w:ascii="Calibri" w:eastAsia="Calibri" w:hAnsi="Calibri" w:cs="Times New Roman"/>
                <w:u w:val="single"/>
                <w:lang w:val="en-US"/>
              </w:rPr>
              <w:t xml:space="preserve">On </w:t>
            </w:r>
            <w:r w:rsidR="00DC6941" w:rsidRPr="00B32D7E">
              <w:rPr>
                <w:rFonts w:ascii="Calibri" w:eastAsia="Calibri" w:hAnsi="Calibri" w:cs="Times New Roman"/>
                <w:u w:val="single"/>
                <w:lang w:val="en-US"/>
              </w:rPr>
              <w:t xml:space="preserve">trains:   </w:t>
            </w:r>
          </w:p>
          <w:p w:rsidR="00DC6941" w:rsidRPr="00B32D7E" w:rsidRDefault="00DC6941" w:rsidP="00DC6941">
            <w:pPr>
              <w:spacing w:after="120" w:line="360" w:lineRule="auto"/>
              <w:jc w:val="both"/>
              <w:rPr>
                <w:rFonts w:ascii="Calibri" w:eastAsia="Times New Roman" w:hAnsi="Calibri" w:cs="Times New Roman"/>
                <w:lang w:val="en-GB"/>
              </w:rPr>
            </w:pPr>
          </w:p>
          <w:p w:rsidR="00DC6941" w:rsidRPr="00B32D7E" w:rsidRDefault="00E30AFE" w:rsidP="00DC6941">
            <w:pPr>
              <w:numPr>
                <w:ilvl w:val="0"/>
                <w:numId w:val="39"/>
              </w:numPr>
              <w:spacing w:after="120" w:line="360" w:lineRule="auto"/>
              <w:contextualSpacing/>
              <w:jc w:val="both"/>
              <w:rPr>
                <w:rFonts w:ascii="Calibri" w:eastAsia="Calibri" w:hAnsi="Calibri" w:cs="Times New Roman"/>
                <w:u w:val="single"/>
                <w:lang w:val="en-US"/>
              </w:rPr>
            </w:pPr>
            <w:r>
              <w:rPr>
                <w:rFonts w:ascii="Calibri" w:eastAsia="Calibri" w:hAnsi="Calibri" w:cs="Times New Roman"/>
                <w:u w:val="single"/>
                <w:lang w:val="en-US"/>
              </w:rPr>
              <w:t>At</w:t>
            </w:r>
            <w:r w:rsidRPr="00B32D7E">
              <w:rPr>
                <w:rFonts w:ascii="Calibri" w:eastAsia="Calibri" w:hAnsi="Calibri" w:cs="Times New Roman"/>
                <w:u w:val="single"/>
                <w:lang w:val="en-US"/>
              </w:rPr>
              <w:t xml:space="preserve"> stations</w:t>
            </w:r>
            <w:r w:rsidR="00DC6941" w:rsidRPr="00B32D7E">
              <w:rPr>
                <w:rFonts w:ascii="Calibri" w:eastAsia="Calibri" w:hAnsi="Calibri" w:cs="Times New Roman"/>
                <w:u w:val="single"/>
                <w:lang w:val="en-US"/>
              </w:rPr>
              <w:t>:</w:t>
            </w:r>
          </w:p>
          <w:p w:rsidR="00DC6941" w:rsidRPr="00B32D7E" w:rsidRDefault="00DC6941" w:rsidP="00DC6941">
            <w:pPr>
              <w:spacing w:after="120" w:line="360" w:lineRule="auto"/>
              <w:jc w:val="both"/>
              <w:rPr>
                <w:rFonts w:ascii="Calibri" w:eastAsia="Times New Roman" w:hAnsi="Calibri" w:cs="Times New Roman"/>
                <w:lang w:val="en-GB"/>
              </w:rPr>
            </w:pPr>
          </w:p>
          <w:p w:rsidR="00DC6941" w:rsidRPr="00B32D7E" w:rsidRDefault="001768A4" w:rsidP="00DC6941">
            <w:pPr>
              <w:numPr>
                <w:ilvl w:val="0"/>
                <w:numId w:val="39"/>
              </w:numPr>
              <w:spacing w:after="120" w:line="360" w:lineRule="auto"/>
              <w:contextualSpacing/>
              <w:jc w:val="both"/>
              <w:rPr>
                <w:rFonts w:ascii="Calibri" w:eastAsia="Calibri" w:hAnsi="Calibri" w:cs="Times New Roman"/>
                <w:u w:val="single"/>
                <w:lang w:val="en-US"/>
              </w:rPr>
            </w:pPr>
            <w:r>
              <w:rPr>
                <w:rFonts w:ascii="Calibri" w:eastAsia="Calibri" w:hAnsi="Calibri" w:cs="Times New Roman"/>
                <w:u w:val="single"/>
                <w:lang w:val="en-US"/>
              </w:rPr>
              <w:t xml:space="preserve">On </w:t>
            </w:r>
            <w:r w:rsidR="00DC6941" w:rsidRPr="00B32D7E">
              <w:rPr>
                <w:rFonts w:ascii="Calibri" w:eastAsia="Calibri" w:hAnsi="Calibri" w:cs="Times New Roman"/>
                <w:u w:val="single"/>
                <w:lang w:val="en-US"/>
              </w:rPr>
              <w:t xml:space="preserve">routes: </w:t>
            </w:r>
          </w:p>
          <w:p w:rsidR="00DC6941" w:rsidRPr="00B32D7E" w:rsidRDefault="00DC6941" w:rsidP="00DC6941">
            <w:pPr>
              <w:spacing w:after="120" w:line="360" w:lineRule="auto"/>
              <w:ind w:left="442"/>
              <w:jc w:val="both"/>
              <w:rPr>
                <w:rFonts w:ascii="Calibri" w:eastAsia="Times New Roman" w:hAnsi="Calibri" w:cs="Times New Roman"/>
                <w:lang w:val="en-GB"/>
              </w:rPr>
            </w:pPr>
          </w:p>
          <w:p w:rsidR="00DC6941" w:rsidRPr="00B32D7E" w:rsidRDefault="00E30AFE" w:rsidP="00DC6941">
            <w:pPr>
              <w:numPr>
                <w:ilvl w:val="0"/>
                <w:numId w:val="39"/>
              </w:numPr>
              <w:spacing w:after="120" w:line="360" w:lineRule="auto"/>
              <w:contextualSpacing/>
              <w:jc w:val="both"/>
              <w:rPr>
                <w:rFonts w:ascii="Calibri" w:eastAsia="Calibri" w:hAnsi="Calibri" w:cs="Times New Roman"/>
                <w:u w:val="single"/>
                <w:lang w:val="en-US"/>
              </w:rPr>
            </w:pPr>
            <w:r>
              <w:rPr>
                <w:rFonts w:ascii="Calibri" w:eastAsia="Calibri" w:hAnsi="Calibri" w:cs="Times New Roman"/>
                <w:u w:val="single"/>
                <w:lang w:val="en-US"/>
              </w:rPr>
              <w:t>On</w:t>
            </w:r>
            <w:r w:rsidRPr="00B32D7E">
              <w:rPr>
                <w:rFonts w:ascii="Calibri" w:eastAsia="Calibri" w:hAnsi="Calibri" w:cs="Times New Roman"/>
                <w:u w:val="single"/>
                <w:lang w:val="en-US"/>
              </w:rPr>
              <w:t xml:space="preserve"> timetables</w:t>
            </w:r>
            <w:r w:rsidR="00DC6941" w:rsidRPr="00B32D7E">
              <w:rPr>
                <w:rFonts w:ascii="Calibri" w:eastAsia="Calibri" w:hAnsi="Calibri" w:cs="Times New Roman"/>
                <w:u w:val="single"/>
                <w:lang w:val="en-US"/>
              </w:rPr>
              <w:t>:</w:t>
            </w:r>
          </w:p>
          <w:p w:rsidR="00DC6941" w:rsidRPr="00B32D7E" w:rsidRDefault="00DC6941" w:rsidP="00DC6941">
            <w:pPr>
              <w:spacing w:after="120" w:line="360" w:lineRule="auto"/>
              <w:jc w:val="both"/>
              <w:rPr>
                <w:rFonts w:ascii="Calibri" w:eastAsia="Times New Roman" w:hAnsi="Calibri" w:cs="Times New Roman"/>
                <w:lang w:val="en-GB"/>
              </w:rPr>
            </w:pPr>
          </w:p>
          <w:p w:rsidR="00DC6941" w:rsidRPr="00B32D7E" w:rsidRDefault="00DC6941" w:rsidP="00DC6941">
            <w:pPr>
              <w:numPr>
                <w:ilvl w:val="0"/>
                <w:numId w:val="39"/>
              </w:numPr>
              <w:spacing w:after="120" w:line="360" w:lineRule="auto"/>
              <w:contextualSpacing/>
              <w:jc w:val="both"/>
              <w:rPr>
                <w:rFonts w:ascii="Calibri" w:eastAsia="Calibri" w:hAnsi="Calibri" w:cs="Times New Roman"/>
                <w:u w:val="single"/>
                <w:lang w:val="en-US"/>
              </w:rPr>
            </w:pPr>
            <w:r w:rsidRPr="00B32D7E">
              <w:rPr>
                <w:rFonts w:ascii="Calibri" w:eastAsia="Calibri" w:hAnsi="Calibri" w:cs="Times New Roman"/>
                <w:u w:val="single"/>
                <w:lang w:val="en-US"/>
              </w:rPr>
              <w:t xml:space="preserve">To fares: </w:t>
            </w:r>
          </w:p>
          <w:p w:rsidR="00DC6941" w:rsidRPr="00B32D7E" w:rsidRDefault="00DC6941" w:rsidP="00DC6941">
            <w:pPr>
              <w:spacing w:after="120" w:line="360" w:lineRule="auto"/>
              <w:jc w:val="both"/>
              <w:rPr>
                <w:rFonts w:ascii="Calibri" w:eastAsia="Times New Roman" w:hAnsi="Calibri" w:cs="Times New Roman"/>
                <w:lang w:val="en-GB"/>
              </w:rPr>
            </w:pPr>
          </w:p>
          <w:p w:rsidR="00DC6941" w:rsidRPr="00B32D7E" w:rsidRDefault="00DC6941" w:rsidP="00DC6941">
            <w:pPr>
              <w:numPr>
                <w:ilvl w:val="0"/>
                <w:numId w:val="39"/>
              </w:numPr>
              <w:spacing w:after="120" w:line="360" w:lineRule="auto"/>
              <w:contextualSpacing/>
              <w:jc w:val="both"/>
              <w:rPr>
                <w:rFonts w:ascii="Calibri" w:eastAsia="Calibri" w:hAnsi="Calibri" w:cs="Times New Roman"/>
                <w:u w:val="single"/>
                <w:lang w:val="en-US"/>
              </w:rPr>
            </w:pPr>
            <w:r w:rsidRPr="00B32D7E">
              <w:rPr>
                <w:rFonts w:ascii="Calibri" w:eastAsia="Calibri" w:hAnsi="Calibri" w:cs="Times New Roman"/>
                <w:u w:val="single"/>
                <w:lang w:val="en-US"/>
              </w:rPr>
              <w:t xml:space="preserve">To </w:t>
            </w:r>
            <w:r w:rsidR="001768A4">
              <w:rPr>
                <w:rFonts w:ascii="Calibri" w:eastAsia="Calibri" w:hAnsi="Calibri" w:cs="Times New Roman"/>
                <w:u w:val="single"/>
                <w:lang w:val="en-US"/>
              </w:rPr>
              <w:t xml:space="preserve">passenger </w:t>
            </w:r>
            <w:r w:rsidRPr="00B32D7E">
              <w:rPr>
                <w:rFonts w:ascii="Calibri" w:eastAsia="Calibri" w:hAnsi="Calibri" w:cs="Times New Roman"/>
                <w:u w:val="single"/>
                <w:lang w:val="en-US"/>
              </w:rPr>
              <w:t>information:</w:t>
            </w:r>
          </w:p>
          <w:p w:rsidR="00DC6941" w:rsidRPr="00B32D7E" w:rsidRDefault="00DC6941" w:rsidP="00DC6941">
            <w:pPr>
              <w:spacing w:after="120" w:line="360" w:lineRule="auto"/>
              <w:ind w:left="442"/>
              <w:jc w:val="both"/>
              <w:rPr>
                <w:rFonts w:ascii="Calibri" w:eastAsia="Times New Roman" w:hAnsi="Calibri" w:cs="Times New Roman"/>
                <w:lang w:val="en-GB"/>
              </w:rPr>
            </w:pPr>
          </w:p>
          <w:p w:rsidR="00DC6941" w:rsidRPr="00B32D7E" w:rsidRDefault="00DC6941" w:rsidP="00DC6941">
            <w:pPr>
              <w:numPr>
                <w:ilvl w:val="0"/>
                <w:numId w:val="39"/>
              </w:numPr>
              <w:spacing w:after="120" w:line="360" w:lineRule="auto"/>
              <w:contextualSpacing/>
              <w:jc w:val="both"/>
              <w:rPr>
                <w:rFonts w:ascii="Calibri" w:eastAsia="Calibri" w:hAnsi="Calibri" w:cs="Times New Roman"/>
                <w:u w:val="single"/>
                <w:lang w:val="en-US"/>
              </w:rPr>
            </w:pPr>
            <w:r w:rsidRPr="00B32D7E">
              <w:rPr>
                <w:rFonts w:ascii="Calibri" w:eastAsia="Calibri" w:hAnsi="Calibri" w:cs="Times New Roman"/>
                <w:u w:val="single"/>
                <w:lang w:val="en-US"/>
              </w:rPr>
              <w:t>To customer service:</w:t>
            </w:r>
          </w:p>
          <w:p w:rsidR="00DC6941" w:rsidRPr="00B32D7E" w:rsidRDefault="00DC6941" w:rsidP="00DC6941">
            <w:pPr>
              <w:spacing w:after="120" w:line="360" w:lineRule="auto"/>
              <w:jc w:val="both"/>
              <w:rPr>
                <w:rFonts w:ascii="Calibri" w:eastAsia="Times New Roman" w:hAnsi="Calibri" w:cs="Times New Roman"/>
                <w:u w:val="single"/>
                <w:lang w:val="en-GB"/>
              </w:rPr>
            </w:pPr>
          </w:p>
          <w:p w:rsidR="00DC6941" w:rsidRPr="00B32D7E" w:rsidRDefault="00DC6941" w:rsidP="00DC6941">
            <w:pPr>
              <w:numPr>
                <w:ilvl w:val="0"/>
                <w:numId w:val="39"/>
              </w:numPr>
              <w:spacing w:after="120" w:line="360" w:lineRule="auto"/>
              <w:contextualSpacing/>
              <w:jc w:val="both"/>
              <w:rPr>
                <w:rFonts w:ascii="Calibri" w:eastAsia="Calibri" w:hAnsi="Calibri" w:cs="Times New Roman"/>
                <w:u w:val="single"/>
                <w:lang w:val="en-US"/>
              </w:rPr>
            </w:pPr>
            <w:r w:rsidRPr="00B32D7E">
              <w:rPr>
                <w:rFonts w:ascii="Calibri" w:eastAsia="Calibri" w:hAnsi="Calibri" w:cs="Times New Roman"/>
                <w:u w:val="single"/>
                <w:lang w:val="en-US"/>
              </w:rPr>
              <w:t xml:space="preserve">To freight </w:t>
            </w:r>
            <w:r w:rsidR="001768A4">
              <w:rPr>
                <w:rFonts w:ascii="Calibri" w:eastAsia="Calibri" w:hAnsi="Calibri" w:cs="Times New Roman"/>
                <w:u w:val="single"/>
                <w:lang w:val="en-US"/>
              </w:rPr>
              <w:t>transport:</w:t>
            </w:r>
          </w:p>
          <w:p w:rsidR="00DC6941" w:rsidRPr="00B32D7E" w:rsidRDefault="00DC6941" w:rsidP="006C76BC">
            <w:pPr>
              <w:spacing w:after="120" w:line="360" w:lineRule="auto"/>
              <w:jc w:val="both"/>
              <w:rPr>
                <w:rFonts w:ascii="Calibri" w:eastAsia="Times New Roman" w:hAnsi="Calibri" w:cs="Times New Roman"/>
                <w:lang w:val="en-GB"/>
              </w:rPr>
            </w:pPr>
          </w:p>
        </w:tc>
      </w:tr>
      <w:tr w:rsidR="00B32D7E" w:rsidRPr="00B32D7E" w:rsidTr="000A03CB">
        <w:trPr>
          <w:trHeight w:val="554"/>
        </w:trPr>
        <w:tc>
          <w:tcPr>
            <w:tcW w:w="9226" w:type="dxa"/>
            <w:tcBorders>
              <w:top w:val="dotted" w:sz="4" w:space="0" w:color="auto"/>
              <w:left w:val="dotted" w:sz="4" w:space="0" w:color="auto"/>
              <w:bottom w:val="dotted" w:sz="4" w:space="0" w:color="auto"/>
              <w:right w:val="dotted" w:sz="4" w:space="0" w:color="auto"/>
            </w:tcBorders>
          </w:tcPr>
          <w:p w:rsidR="00DC6941" w:rsidRPr="00B32D7E" w:rsidRDefault="002319F0" w:rsidP="002319F0">
            <w:pPr>
              <w:spacing w:after="120" w:line="360" w:lineRule="auto"/>
              <w:jc w:val="both"/>
              <w:rPr>
                <w:rFonts w:ascii="Calibri" w:eastAsia="Times New Roman" w:hAnsi="Calibri" w:cs="Times New Roman"/>
                <w:lang w:val="en-GB"/>
              </w:rPr>
            </w:pPr>
            <w:r w:rsidRPr="00B32D7E">
              <w:rPr>
                <w:rFonts w:ascii="Calibri" w:eastAsia="Times New Roman" w:hAnsi="Calibri" w:cs="Times New Roman"/>
                <w:lang w:val="en-GB"/>
              </w:rPr>
              <w:t>1</w:t>
            </w:r>
            <w:r>
              <w:rPr>
                <w:rFonts w:ascii="Calibri" w:eastAsia="Times New Roman" w:hAnsi="Calibri" w:cs="Times New Roman"/>
                <w:lang w:val="en-GB"/>
              </w:rPr>
              <w:t>4</w:t>
            </w:r>
            <w:r w:rsidR="00DC6941" w:rsidRPr="00B32D7E">
              <w:rPr>
                <w:rFonts w:ascii="Calibri" w:eastAsia="Times New Roman" w:hAnsi="Calibri" w:cs="Times New Roman"/>
                <w:lang w:val="en-GB"/>
              </w:rPr>
              <w:t>. What other general comments have you on rail?</w:t>
            </w:r>
          </w:p>
        </w:tc>
      </w:tr>
      <w:tr w:rsidR="00B32D7E" w:rsidRPr="00B32D7E" w:rsidTr="003F096F">
        <w:trPr>
          <w:trHeight w:val="2896"/>
        </w:trPr>
        <w:tc>
          <w:tcPr>
            <w:tcW w:w="9226" w:type="dxa"/>
            <w:tcBorders>
              <w:top w:val="dotted" w:sz="4" w:space="0" w:color="auto"/>
              <w:left w:val="dotted" w:sz="4" w:space="0" w:color="auto"/>
              <w:bottom w:val="dotted" w:sz="4" w:space="0" w:color="auto"/>
              <w:right w:val="dotted" w:sz="4" w:space="0" w:color="auto"/>
            </w:tcBorders>
          </w:tcPr>
          <w:p w:rsidR="00DC6941" w:rsidRPr="00B32D7E" w:rsidRDefault="00DC6941" w:rsidP="00DC6941">
            <w:pPr>
              <w:spacing w:after="120" w:line="360" w:lineRule="auto"/>
              <w:jc w:val="both"/>
              <w:rPr>
                <w:rFonts w:ascii="Calibri" w:eastAsia="Times New Roman" w:hAnsi="Calibri" w:cs="Times New Roman"/>
                <w:lang w:val="en-GB"/>
              </w:rPr>
            </w:pPr>
          </w:p>
          <w:p w:rsidR="00E32814" w:rsidRDefault="00E32814" w:rsidP="00DC6941">
            <w:pPr>
              <w:spacing w:after="120" w:line="360" w:lineRule="auto"/>
              <w:jc w:val="both"/>
              <w:rPr>
                <w:rFonts w:ascii="Calibri" w:eastAsia="Times New Roman" w:hAnsi="Calibri" w:cs="Times New Roman"/>
                <w:lang w:val="en-GB"/>
              </w:rPr>
            </w:pPr>
          </w:p>
          <w:p w:rsidR="00DC6941" w:rsidRPr="00B32D7E" w:rsidRDefault="00DC6941" w:rsidP="00DC6941">
            <w:pPr>
              <w:spacing w:after="120" w:line="360" w:lineRule="auto"/>
              <w:jc w:val="both"/>
              <w:rPr>
                <w:rFonts w:ascii="Calibri" w:eastAsia="Times New Roman" w:hAnsi="Calibri" w:cs="Times New Roman"/>
                <w:lang w:val="en-GB"/>
              </w:rPr>
            </w:pPr>
          </w:p>
        </w:tc>
      </w:tr>
    </w:tbl>
    <w:p w:rsidR="00023199" w:rsidRPr="00B32D7E" w:rsidRDefault="00023199" w:rsidP="00DC6941">
      <w:pPr>
        <w:spacing w:after="120" w:line="360" w:lineRule="auto"/>
        <w:jc w:val="both"/>
        <w:rPr>
          <w:rFonts w:ascii="Calibri" w:eastAsia="Times New Roman" w:hAnsi="Calibri" w:cs="Times New Roman"/>
          <w:lang w:val="en-GB"/>
        </w:rPr>
      </w:pPr>
    </w:p>
    <w:p w:rsidR="003F096F" w:rsidRDefault="003F096F">
      <w:pPr>
        <w:rPr>
          <w:rFonts w:ascii="Calibri" w:eastAsia="Times New Roman" w:hAnsi="Calibri" w:cs="Times New Roman"/>
          <w:lang w:val="en-GB"/>
        </w:rPr>
      </w:pPr>
      <w:r>
        <w:rPr>
          <w:rFonts w:ascii="Calibri" w:eastAsia="Times New Roman" w:hAnsi="Calibri" w:cs="Times New Roman"/>
          <w:lang w:val="en-GB"/>
        </w:rPr>
        <w:br w:type="page"/>
      </w:r>
    </w:p>
    <w:p w:rsidR="00DC6941" w:rsidRPr="00B32D7E" w:rsidRDefault="00DC6941" w:rsidP="00DC6941">
      <w:pPr>
        <w:spacing w:after="120" w:line="360" w:lineRule="auto"/>
        <w:jc w:val="both"/>
        <w:rPr>
          <w:rFonts w:ascii="Calibri" w:eastAsia="Times New Roman" w:hAnsi="Calibri" w:cs="Times New Roman"/>
          <w:b/>
          <w:lang w:val="en-GB"/>
        </w:rPr>
      </w:pPr>
      <w:r w:rsidRPr="00B32D7E">
        <w:rPr>
          <w:rFonts w:ascii="Calibri" w:eastAsia="Times New Roman" w:hAnsi="Calibri" w:cs="Times New Roman"/>
          <w:lang w:val="en-GB"/>
        </w:rPr>
        <w:lastRenderedPageBreak/>
        <w:t xml:space="preserve">Please complete the questionnaire and email to </w:t>
      </w:r>
      <w:hyperlink r:id="rId16" w:history="1">
        <w:r w:rsidRPr="00B32D7E">
          <w:rPr>
            <w:rFonts w:ascii="Calibri" w:eastAsia="Times New Roman" w:hAnsi="Calibri" w:cs="Times New Roman"/>
            <w:b/>
            <w:u w:val="single"/>
            <w:lang w:val="en-GB"/>
          </w:rPr>
          <w:t>railconsultation@nationaltransport.ie</w:t>
        </w:r>
      </w:hyperlink>
      <w:r w:rsidRPr="00B32D7E">
        <w:rPr>
          <w:rFonts w:ascii="Calibri" w:eastAsia="Times New Roman" w:hAnsi="Calibri" w:cs="Times New Roman"/>
          <w:b/>
          <w:lang w:val="en-GB"/>
        </w:rPr>
        <w:t xml:space="preserve"> </w:t>
      </w:r>
    </w:p>
    <w:p w:rsidR="00DC6941" w:rsidRPr="00B32D7E" w:rsidRDefault="00DC6941" w:rsidP="00DC6941">
      <w:pPr>
        <w:spacing w:after="120" w:line="360" w:lineRule="auto"/>
        <w:jc w:val="both"/>
        <w:rPr>
          <w:rFonts w:ascii="Calibri" w:eastAsia="Times New Roman" w:hAnsi="Calibri" w:cs="Times New Roman"/>
          <w:lang w:val="en-GB"/>
        </w:rPr>
      </w:pPr>
      <w:proofErr w:type="gramStart"/>
      <w:r w:rsidRPr="00B32D7E">
        <w:rPr>
          <w:rFonts w:ascii="Calibri" w:eastAsia="Times New Roman" w:hAnsi="Calibri" w:cs="Times New Roman"/>
          <w:b/>
          <w:lang w:val="en-GB"/>
        </w:rPr>
        <w:t>or</w:t>
      </w:r>
      <w:proofErr w:type="gramEnd"/>
    </w:p>
    <w:p w:rsidR="00DC6941" w:rsidRPr="00B32D7E" w:rsidRDefault="00DC6941" w:rsidP="00DC6941">
      <w:pPr>
        <w:spacing w:after="120" w:line="360" w:lineRule="auto"/>
        <w:jc w:val="both"/>
        <w:rPr>
          <w:rFonts w:ascii="Calibri" w:eastAsia="Times New Roman" w:hAnsi="Calibri" w:cs="Times New Roman"/>
          <w:lang w:val="en-GB"/>
        </w:rPr>
      </w:pPr>
      <w:r w:rsidRPr="00B32D7E">
        <w:rPr>
          <w:rFonts w:ascii="Calibri" w:eastAsia="Times New Roman" w:hAnsi="Calibri" w:cs="Times New Roman"/>
          <w:lang w:val="en-GB"/>
        </w:rPr>
        <w:t>- submit by post to</w:t>
      </w:r>
    </w:p>
    <w:p w:rsidR="00DC6941" w:rsidRPr="00B32D7E" w:rsidRDefault="00DC6941" w:rsidP="00DC6941">
      <w:pPr>
        <w:spacing w:after="0" w:line="240" w:lineRule="auto"/>
        <w:jc w:val="both"/>
        <w:rPr>
          <w:rFonts w:ascii="Calibri" w:eastAsia="Times New Roman" w:hAnsi="Calibri" w:cs="Times New Roman"/>
          <w:lang w:val="en-GB"/>
        </w:rPr>
      </w:pPr>
      <w:r w:rsidRPr="00B32D7E">
        <w:rPr>
          <w:rFonts w:ascii="Calibri" w:eastAsia="Times New Roman" w:hAnsi="Calibri" w:cs="Times New Roman"/>
          <w:b/>
          <w:lang w:val="en-GB"/>
        </w:rPr>
        <w:t>Rail Consultation</w:t>
      </w:r>
    </w:p>
    <w:p w:rsidR="00DC6941" w:rsidRPr="00B32D7E" w:rsidRDefault="00DC6941" w:rsidP="00DC6941">
      <w:pPr>
        <w:spacing w:after="0" w:line="240" w:lineRule="auto"/>
        <w:jc w:val="both"/>
        <w:rPr>
          <w:rFonts w:ascii="Calibri" w:eastAsia="Times New Roman" w:hAnsi="Calibri" w:cs="Times New Roman"/>
          <w:b/>
          <w:lang w:val="en-GB"/>
        </w:rPr>
      </w:pPr>
      <w:r w:rsidRPr="00B32D7E">
        <w:rPr>
          <w:rFonts w:ascii="Calibri" w:eastAsia="Times New Roman" w:hAnsi="Calibri" w:cs="Times New Roman"/>
          <w:b/>
          <w:lang w:val="en-GB"/>
        </w:rPr>
        <w:t>National Transport Authority</w:t>
      </w:r>
    </w:p>
    <w:p w:rsidR="00DC6941" w:rsidRPr="00B32D7E" w:rsidRDefault="00DC6941" w:rsidP="00DC6941">
      <w:pPr>
        <w:spacing w:after="0" w:line="240" w:lineRule="auto"/>
        <w:jc w:val="both"/>
        <w:rPr>
          <w:rFonts w:ascii="Calibri" w:eastAsia="Times New Roman" w:hAnsi="Calibri" w:cs="Times New Roman"/>
          <w:b/>
          <w:lang w:val="en-GB"/>
        </w:rPr>
      </w:pPr>
      <w:r w:rsidRPr="00B32D7E">
        <w:rPr>
          <w:rFonts w:ascii="Calibri" w:eastAsia="Times New Roman" w:hAnsi="Calibri" w:cs="Times New Roman"/>
          <w:b/>
          <w:lang w:val="en-GB"/>
        </w:rPr>
        <w:t>Dún Scéine</w:t>
      </w:r>
    </w:p>
    <w:p w:rsidR="00DC6941" w:rsidRPr="00B32D7E" w:rsidRDefault="00DC6941" w:rsidP="00DC6941">
      <w:pPr>
        <w:spacing w:after="0" w:line="240" w:lineRule="auto"/>
        <w:jc w:val="both"/>
        <w:rPr>
          <w:rFonts w:ascii="Calibri" w:eastAsia="Times New Roman" w:hAnsi="Calibri" w:cs="Times New Roman"/>
          <w:b/>
          <w:lang w:val="en-GB"/>
        </w:rPr>
      </w:pPr>
      <w:r w:rsidRPr="00B32D7E">
        <w:rPr>
          <w:rFonts w:ascii="Calibri" w:eastAsia="Times New Roman" w:hAnsi="Calibri" w:cs="Times New Roman"/>
          <w:b/>
          <w:lang w:val="en-GB"/>
        </w:rPr>
        <w:t>Iveagh Court</w:t>
      </w:r>
    </w:p>
    <w:p w:rsidR="00DC6941" w:rsidRPr="00B32D7E" w:rsidRDefault="00DC6941" w:rsidP="00DC6941">
      <w:pPr>
        <w:spacing w:after="0" w:line="240" w:lineRule="auto"/>
        <w:jc w:val="both"/>
        <w:rPr>
          <w:rFonts w:ascii="Calibri" w:eastAsia="Times New Roman" w:hAnsi="Calibri" w:cs="Times New Roman"/>
          <w:b/>
          <w:lang w:val="en-GB"/>
        </w:rPr>
      </w:pPr>
      <w:r w:rsidRPr="00B32D7E">
        <w:rPr>
          <w:rFonts w:ascii="Calibri" w:eastAsia="Times New Roman" w:hAnsi="Calibri" w:cs="Times New Roman"/>
          <w:b/>
          <w:lang w:val="en-GB"/>
        </w:rPr>
        <w:t>Dublin 2</w:t>
      </w:r>
    </w:p>
    <w:p w:rsidR="00E32814" w:rsidRPr="00B32D7E" w:rsidRDefault="00E32814" w:rsidP="00DC6941">
      <w:pPr>
        <w:spacing w:after="0" w:line="240" w:lineRule="auto"/>
        <w:jc w:val="both"/>
        <w:rPr>
          <w:rFonts w:ascii="Calibri" w:eastAsia="Times New Roman" w:hAnsi="Calibri" w:cs="Times New Roman"/>
          <w:b/>
          <w:lang w:val="en-GB"/>
        </w:rPr>
      </w:pPr>
      <w:r w:rsidRPr="00B32D7E">
        <w:rPr>
          <w:rFonts w:ascii="Calibri" w:eastAsia="Times New Roman" w:hAnsi="Calibri" w:cs="Times New Roman"/>
          <w:b/>
          <w:lang w:val="en-GB"/>
        </w:rPr>
        <w:t>D02 WT20</w:t>
      </w:r>
    </w:p>
    <w:p w:rsidR="00DC6941" w:rsidRPr="00B32D7E" w:rsidRDefault="00DC6941" w:rsidP="00DC6941">
      <w:pPr>
        <w:spacing w:after="0" w:line="240" w:lineRule="auto"/>
        <w:jc w:val="both"/>
        <w:rPr>
          <w:rFonts w:ascii="Calibri" w:eastAsia="Times New Roman" w:hAnsi="Calibri" w:cs="Times New Roman"/>
          <w:lang w:val="en-GB"/>
        </w:rPr>
      </w:pPr>
    </w:p>
    <w:p w:rsidR="00DC6941" w:rsidRPr="00B32D7E" w:rsidRDefault="00DC6941" w:rsidP="00DC6941">
      <w:pPr>
        <w:spacing w:after="120" w:line="360" w:lineRule="auto"/>
        <w:jc w:val="both"/>
        <w:rPr>
          <w:rFonts w:ascii="Calibri" w:eastAsia="Times New Roman" w:hAnsi="Calibri" w:cs="Times New Roman"/>
          <w:lang w:val="en-GB"/>
        </w:rPr>
      </w:pPr>
      <w:r w:rsidRPr="00B32D7E">
        <w:rPr>
          <w:rFonts w:ascii="Calibri" w:eastAsia="Times New Roman" w:hAnsi="Calibri" w:cs="Times New Roman"/>
          <w:lang w:val="en-GB"/>
        </w:rPr>
        <w:t xml:space="preserve">Any submissions must be received by the Authority by </w:t>
      </w:r>
      <w:r w:rsidR="002319F0">
        <w:rPr>
          <w:rFonts w:ascii="Calibri" w:eastAsia="Times New Roman" w:hAnsi="Calibri" w:cs="Times New Roman"/>
          <w:b/>
          <w:sz w:val="24"/>
          <w:szCs w:val="24"/>
          <w:lang w:val="en-GB"/>
        </w:rPr>
        <w:t>Wednesday 18</w:t>
      </w:r>
      <w:r w:rsidR="002319F0" w:rsidRPr="00A11523">
        <w:rPr>
          <w:rFonts w:ascii="Calibri" w:eastAsia="Times New Roman" w:hAnsi="Calibri" w:cs="Times New Roman"/>
          <w:b/>
          <w:sz w:val="24"/>
          <w:szCs w:val="24"/>
          <w:vertAlign w:val="superscript"/>
          <w:lang w:val="en-GB"/>
        </w:rPr>
        <w:t>th</w:t>
      </w:r>
      <w:r w:rsidR="002319F0">
        <w:rPr>
          <w:rFonts w:ascii="Calibri" w:eastAsia="Times New Roman" w:hAnsi="Calibri" w:cs="Times New Roman"/>
          <w:b/>
          <w:sz w:val="24"/>
          <w:szCs w:val="24"/>
          <w:lang w:val="en-GB"/>
        </w:rPr>
        <w:t xml:space="preserve"> </w:t>
      </w:r>
      <w:r w:rsidR="007118D0">
        <w:rPr>
          <w:rFonts w:ascii="Calibri" w:eastAsia="Times New Roman" w:hAnsi="Calibri" w:cs="Times New Roman"/>
          <w:b/>
          <w:sz w:val="24"/>
          <w:szCs w:val="24"/>
          <w:lang w:val="en-GB"/>
        </w:rPr>
        <w:t>January 2017</w:t>
      </w:r>
      <w:r w:rsidRPr="00B32D7E">
        <w:rPr>
          <w:rFonts w:ascii="Calibri" w:eastAsia="Times New Roman" w:hAnsi="Calibri" w:cs="Times New Roman"/>
          <w:lang w:val="en-GB"/>
        </w:rPr>
        <w:t>. The Authority may publish a report on the consultation.</w:t>
      </w:r>
    </w:p>
    <w:p w:rsidR="00DC6941" w:rsidRPr="00B32D7E" w:rsidRDefault="00DC6941" w:rsidP="00DC6941">
      <w:pPr>
        <w:spacing w:after="120" w:line="360" w:lineRule="auto"/>
        <w:jc w:val="both"/>
        <w:rPr>
          <w:rFonts w:ascii="Calibri" w:eastAsia="Times New Roman" w:hAnsi="Calibri" w:cs="Times New Roman"/>
          <w:lang w:val="en-GB" w:eastAsia="en-IE" w:bidi="en-US"/>
        </w:rPr>
      </w:pPr>
      <w:r w:rsidRPr="00B32D7E">
        <w:rPr>
          <w:rFonts w:ascii="Calibri" w:eastAsia="Times New Roman" w:hAnsi="Calibri" w:cs="Times New Roman"/>
          <w:b/>
          <w:i/>
          <w:lang w:val="en-GB" w:eastAsia="en-IE" w:bidi="en-US"/>
        </w:rPr>
        <w:t xml:space="preserve">All submissions should include the full name and address of the person making the submission and where relevant the name of the body or organization represented. Please do not include mobile phone numbers </w:t>
      </w:r>
      <w:r w:rsidR="002319F0" w:rsidRPr="00B32D7E">
        <w:rPr>
          <w:rFonts w:ascii="Calibri" w:eastAsia="Times New Roman" w:hAnsi="Calibri" w:cs="Times New Roman"/>
          <w:b/>
          <w:i/>
          <w:lang w:val="en-GB" w:eastAsia="en-IE" w:bidi="en-US"/>
        </w:rPr>
        <w:t>o</w:t>
      </w:r>
      <w:r w:rsidR="002319F0">
        <w:rPr>
          <w:rFonts w:ascii="Calibri" w:eastAsia="Times New Roman" w:hAnsi="Calibri" w:cs="Times New Roman"/>
          <w:b/>
          <w:i/>
          <w:lang w:val="en-GB" w:eastAsia="en-IE" w:bidi="en-US"/>
        </w:rPr>
        <w:t>r</w:t>
      </w:r>
      <w:r w:rsidR="002319F0" w:rsidRPr="00B32D7E">
        <w:rPr>
          <w:rFonts w:ascii="Calibri" w:eastAsia="Times New Roman" w:hAnsi="Calibri" w:cs="Times New Roman"/>
          <w:b/>
          <w:i/>
          <w:lang w:val="en-GB" w:eastAsia="en-IE" w:bidi="en-US"/>
        </w:rPr>
        <w:t xml:space="preserve"> </w:t>
      </w:r>
      <w:r w:rsidRPr="00B32D7E">
        <w:rPr>
          <w:rFonts w:ascii="Calibri" w:eastAsia="Times New Roman" w:hAnsi="Calibri" w:cs="Times New Roman"/>
          <w:b/>
          <w:i/>
          <w:lang w:val="en-GB" w:eastAsia="en-IE" w:bidi="en-US"/>
        </w:rPr>
        <w:t>any other personal information that you do not want published</w:t>
      </w:r>
      <w:r w:rsidRPr="00B32D7E">
        <w:rPr>
          <w:rFonts w:ascii="Calibri" w:eastAsia="Times New Roman" w:hAnsi="Calibri" w:cs="Times New Roman"/>
          <w:lang w:val="en-GB" w:eastAsia="en-IE" w:bidi="en-US"/>
        </w:rPr>
        <w:t>.</w:t>
      </w:r>
    </w:p>
    <w:p w:rsidR="00DC6941" w:rsidRPr="00B32D7E" w:rsidRDefault="00DC6941" w:rsidP="00DC6941">
      <w:pPr>
        <w:spacing w:after="120" w:line="360" w:lineRule="auto"/>
        <w:jc w:val="both"/>
        <w:rPr>
          <w:rFonts w:ascii="Calibri" w:eastAsia="Times New Roman" w:hAnsi="Calibri" w:cs="Times New Roman"/>
          <w:lang w:val="en-GB"/>
        </w:rPr>
      </w:pPr>
    </w:p>
    <w:p w:rsidR="00DC6941" w:rsidRPr="00B32D7E" w:rsidRDefault="00DC6941" w:rsidP="00DC6941">
      <w:pPr>
        <w:spacing w:after="120" w:line="360" w:lineRule="auto"/>
        <w:jc w:val="both"/>
        <w:rPr>
          <w:rFonts w:ascii="Calibri" w:eastAsia="Times New Roman" w:hAnsi="Calibri" w:cs="Times New Roman"/>
          <w:lang w:val="en-GB"/>
        </w:rPr>
      </w:pPr>
      <w:r w:rsidRPr="00B32D7E">
        <w:rPr>
          <w:rFonts w:ascii="Calibri" w:eastAsia="Times New Roman" w:hAnsi="Calibri" w:cs="Times New Roman"/>
          <w:lang w:val="en-GB"/>
        </w:rPr>
        <w:t>Please note that submissions are to subject to Freedom of Information so please highlight any items that you consider to be commercially sensitive material. Please also note that submissions may be published.</w:t>
      </w:r>
    </w:p>
    <w:p w:rsidR="00DC6941" w:rsidRPr="00B32D7E" w:rsidRDefault="00DC6941" w:rsidP="00DC6941">
      <w:pPr>
        <w:spacing w:after="120" w:line="360" w:lineRule="auto"/>
        <w:jc w:val="both"/>
        <w:rPr>
          <w:rFonts w:ascii="Calibri" w:eastAsia="Times New Roman" w:hAnsi="Calibri" w:cs="Times New Roman"/>
          <w:lang w:val="en-GB" w:eastAsia="en-IE" w:bidi="en-US"/>
        </w:rPr>
      </w:pPr>
    </w:p>
    <w:p w:rsidR="00DC6941" w:rsidRPr="00B32D7E" w:rsidRDefault="00DC6941" w:rsidP="00DC6941">
      <w:pPr>
        <w:spacing w:after="120" w:line="360" w:lineRule="auto"/>
        <w:jc w:val="both"/>
        <w:rPr>
          <w:rFonts w:ascii="Calibri" w:eastAsia="Times New Roman" w:hAnsi="Calibri" w:cs="Times New Roman"/>
          <w:lang w:val="en-GB" w:eastAsia="en-IE" w:bidi="en-US"/>
        </w:rPr>
      </w:pPr>
      <w:r w:rsidRPr="00B32D7E">
        <w:rPr>
          <w:rFonts w:ascii="Calibri" w:eastAsia="Times New Roman" w:hAnsi="Calibri" w:cs="Times New Roman"/>
          <w:lang w:val="en-GB" w:eastAsia="en-IE" w:bidi="en-US"/>
        </w:rPr>
        <w:t>All submissions and observations received within the timeframe set out will be taken into consideration.</w:t>
      </w:r>
    </w:p>
    <w:p w:rsidR="00DC6941" w:rsidRPr="00B32D7E" w:rsidRDefault="00DC6941" w:rsidP="00DC6941">
      <w:pPr>
        <w:spacing w:after="120" w:line="360" w:lineRule="auto"/>
        <w:jc w:val="both"/>
        <w:rPr>
          <w:rFonts w:ascii="Calibri" w:eastAsia="Times New Roman" w:hAnsi="Calibri" w:cs="Times New Roman"/>
          <w:lang w:val="en-GB"/>
        </w:rPr>
      </w:pPr>
    </w:p>
    <w:p w:rsidR="000A03CB" w:rsidRPr="00B32D7E" w:rsidRDefault="000A03CB" w:rsidP="000A03CB">
      <w:pPr>
        <w:jc w:val="both"/>
        <w:rPr>
          <w:lang w:eastAsia="en-IE"/>
        </w:rPr>
      </w:pPr>
    </w:p>
    <w:sectPr w:rsidR="000A03CB" w:rsidRPr="00B32D7E" w:rsidSect="004C32B5">
      <w:footerReference w:type="default" r:id="rId17"/>
      <w:pgSz w:w="11906" w:h="16838"/>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23BF" w:rsidRDefault="00DA23BF" w:rsidP="00372632">
      <w:pPr>
        <w:spacing w:after="0" w:line="240" w:lineRule="auto"/>
      </w:pPr>
      <w:r>
        <w:separator/>
      </w:r>
    </w:p>
  </w:endnote>
  <w:endnote w:type="continuationSeparator" w:id="0">
    <w:p w:rsidR="00DA23BF" w:rsidRDefault="00DA23BF" w:rsidP="003726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EYInterstate Light">
    <w:altName w:val="Franklin Gothic Medium Cond"/>
    <w:charset w:val="00"/>
    <w:family w:val="auto"/>
    <w:pitch w:val="variable"/>
    <w:sig w:usb0="00000001" w:usb1="5000206A"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ucida Bright">
    <w:panose1 w:val="02040602050505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3373092"/>
      <w:docPartObj>
        <w:docPartGallery w:val="Page Numbers (Bottom of Page)"/>
        <w:docPartUnique/>
      </w:docPartObj>
    </w:sdtPr>
    <w:sdtEndPr/>
    <w:sdtContent>
      <w:p w:rsidR="00DA23BF" w:rsidRDefault="00DA23BF">
        <w:pPr>
          <w:pStyle w:val="Footer"/>
          <w:jc w:val="right"/>
        </w:pPr>
        <w:r>
          <w:t xml:space="preserve">Page | </w:t>
        </w:r>
        <w:r>
          <w:fldChar w:fldCharType="begin"/>
        </w:r>
        <w:r>
          <w:instrText xml:space="preserve"> PAGE   \* MERGEFORMAT </w:instrText>
        </w:r>
        <w:r>
          <w:fldChar w:fldCharType="separate"/>
        </w:r>
        <w:r w:rsidR="00B00B7E">
          <w:rPr>
            <w:noProof/>
          </w:rPr>
          <w:t>1</w:t>
        </w:r>
        <w:r>
          <w:rPr>
            <w:noProof/>
          </w:rPr>
          <w:fldChar w:fldCharType="end"/>
        </w:r>
        <w:r>
          <w:t xml:space="preserve"> </w:t>
        </w:r>
      </w:p>
    </w:sdtContent>
  </w:sdt>
  <w:p w:rsidR="00DA23BF" w:rsidRDefault="00DA23B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6367362"/>
      <w:docPartObj>
        <w:docPartGallery w:val="Page Numbers (Bottom of Page)"/>
        <w:docPartUnique/>
      </w:docPartObj>
    </w:sdtPr>
    <w:sdtEndPr/>
    <w:sdtContent>
      <w:p w:rsidR="00DA23BF" w:rsidRDefault="00DA23BF">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rsidR="00DA23BF" w:rsidRDefault="00DA23B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8353772"/>
      <w:docPartObj>
        <w:docPartGallery w:val="Page Numbers (Bottom of Page)"/>
        <w:docPartUnique/>
      </w:docPartObj>
    </w:sdtPr>
    <w:sdtEndPr>
      <w:rPr>
        <w:noProof/>
      </w:rPr>
    </w:sdtEndPr>
    <w:sdtContent>
      <w:p w:rsidR="00DA23BF" w:rsidRDefault="00DA23BF">
        <w:pPr>
          <w:pStyle w:val="Footer"/>
          <w:jc w:val="right"/>
        </w:pPr>
        <w:r>
          <w:fldChar w:fldCharType="begin"/>
        </w:r>
        <w:r>
          <w:instrText xml:space="preserve"> PAGE   \* MERGEFORMAT </w:instrText>
        </w:r>
        <w:r>
          <w:fldChar w:fldCharType="separate"/>
        </w:r>
        <w:r w:rsidR="00B00B7E">
          <w:rPr>
            <w:noProof/>
          </w:rPr>
          <w:t>20</w:t>
        </w:r>
        <w:r>
          <w:rPr>
            <w:noProof/>
          </w:rPr>
          <w:fldChar w:fldCharType="end"/>
        </w:r>
      </w:p>
    </w:sdtContent>
  </w:sdt>
  <w:p w:rsidR="00DA23BF" w:rsidRDefault="00DA23B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23BF" w:rsidRDefault="00DA23BF" w:rsidP="00372632">
      <w:pPr>
        <w:spacing w:after="0" w:line="240" w:lineRule="auto"/>
      </w:pPr>
      <w:r>
        <w:separator/>
      </w:r>
    </w:p>
  </w:footnote>
  <w:footnote w:type="continuationSeparator" w:id="0">
    <w:p w:rsidR="00DA23BF" w:rsidRDefault="00DA23BF" w:rsidP="00372632">
      <w:pPr>
        <w:spacing w:after="0" w:line="240" w:lineRule="auto"/>
      </w:pPr>
      <w:r>
        <w:continuationSeparator/>
      </w:r>
    </w:p>
  </w:footnote>
  <w:footnote w:id="1">
    <w:p w:rsidR="00DA23BF" w:rsidRDefault="00DA23BF">
      <w:pPr>
        <w:pStyle w:val="FootnoteText"/>
      </w:pPr>
      <w:r>
        <w:rPr>
          <w:rStyle w:val="FootnoteReference"/>
        </w:rPr>
        <w:footnoteRef/>
      </w:r>
      <w:r>
        <w:t xml:space="preserve"> </w:t>
      </w:r>
      <w:r w:rsidR="008F7773">
        <w:t xml:space="preserve">Based on </w:t>
      </w:r>
      <w:proofErr w:type="spellStart"/>
      <w:r>
        <w:t>Iarnród</w:t>
      </w:r>
      <w:proofErr w:type="spellEnd"/>
      <w:r>
        <w:t xml:space="preserve"> </w:t>
      </w:r>
      <w:proofErr w:type="spellStart"/>
      <w:r>
        <w:t>Éireann</w:t>
      </w:r>
      <w:proofErr w:type="spellEnd"/>
      <w:r>
        <w:t xml:space="preserve"> financial accounts  </w:t>
      </w:r>
      <w:r w:rsidR="003D5F60">
        <w:t>2015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3BF" w:rsidRDefault="00DA23B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50322"/>
    <w:multiLevelType w:val="hybridMultilevel"/>
    <w:tmpl w:val="9B3E3FB8"/>
    <w:lvl w:ilvl="0" w:tplc="1809000F">
      <w:start w:val="1"/>
      <w:numFmt w:val="decimal"/>
      <w:lvlText w:val="%1."/>
      <w:lvlJc w:val="left"/>
      <w:pPr>
        <w:ind w:left="644" w:hanging="360"/>
      </w:pPr>
    </w:lvl>
    <w:lvl w:ilvl="1" w:tplc="18090001">
      <w:start w:val="1"/>
      <w:numFmt w:val="bullet"/>
      <w:lvlText w:val=""/>
      <w:lvlJc w:val="left"/>
      <w:pPr>
        <w:ind w:left="1440" w:hanging="360"/>
      </w:pPr>
      <w:rPr>
        <w:rFonts w:ascii="Symbol" w:hAnsi="Symbol"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nsid w:val="057749CA"/>
    <w:multiLevelType w:val="hybridMultilevel"/>
    <w:tmpl w:val="BE30E0C4"/>
    <w:lvl w:ilvl="0" w:tplc="1809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nsid w:val="150770D4"/>
    <w:multiLevelType w:val="hybridMultilevel"/>
    <w:tmpl w:val="A22639A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17D328F4"/>
    <w:multiLevelType w:val="hybridMultilevel"/>
    <w:tmpl w:val="939AF860"/>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nsid w:val="18507AA5"/>
    <w:multiLevelType w:val="hybridMultilevel"/>
    <w:tmpl w:val="B30EBC0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19FA3895"/>
    <w:multiLevelType w:val="hybridMultilevel"/>
    <w:tmpl w:val="DF704500"/>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nsid w:val="1A4916D0"/>
    <w:multiLevelType w:val="hybridMultilevel"/>
    <w:tmpl w:val="B5146906"/>
    <w:lvl w:ilvl="0" w:tplc="1809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nsid w:val="1B9903B7"/>
    <w:multiLevelType w:val="hybridMultilevel"/>
    <w:tmpl w:val="679645B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nsid w:val="22EC5FAC"/>
    <w:multiLevelType w:val="hybridMultilevel"/>
    <w:tmpl w:val="17B6137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nsid w:val="2652620F"/>
    <w:multiLevelType w:val="hybridMultilevel"/>
    <w:tmpl w:val="18D04A5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nsid w:val="27CE43C4"/>
    <w:multiLevelType w:val="hybridMultilevel"/>
    <w:tmpl w:val="E7148FC6"/>
    <w:lvl w:ilvl="0" w:tplc="4B9E3F6C">
      <w:start w:val="1"/>
      <w:numFmt w:val="bullet"/>
      <w:lvlText w:val="–"/>
      <w:lvlJc w:val="left"/>
      <w:pPr>
        <w:tabs>
          <w:tab w:val="num" w:pos="720"/>
        </w:tabs>
        <w:ind w:left="720" w:hanging="360"/>
      </w:pPr>
      <w:rPr>
        <w:rFonts w:ascii="Arial Narrow" w:hAnsi="Arial Narrow" w:hint="default"/>
      </w:rPr>
    </w:lvl>
    <w:lvl w:ilvl="1" w:tplc="61989CE4" w:tentative="1">
      <w:start w:val="1"/>
      <w:numFmt w:val="bullet"/>
      <w:lvlText w:val="–"/>
      <w:lvlJc w:val="left"/>
      <w:pPr>
        <w:tabs>
          <w:tab w:val="num" w:pos="1440"/>
        </w:tabs>
        <w:ind w:left="1440" w:hanging="360"/>
      </w:pPr>
      <w:rPr>
        <w:rFonts w:ascii="Arial Narrow" w:hAnsi="Arial Narrow" w:hint="default"/>
      </w:rPr>
    </w:lvl>
    <w:lvl w:ilvl="2" w:tplc="6D04C41A">
      <w:start w:val="1"/>
      <w:numFmt w:val="bullet"/>
      <w:lvlText w:val="–"/>
      <w:lvlJc w:val="left"/>
      <w:pPr>
        <w:tabs>
          <w:tab w:val="num" w:pos="2160"/>
        </w:tabs>
        <w:ind w:left="2160" w:hanging="360"/>
      </w:pPr>
      <w:rPr>
        <w:rFonts w:ascii="Arial Narrow" w:hAnsi="Arial Narrow" w:hint="default"/>
      </w:rPr>
    </w:lvl>
    <w:lvl w:ilvl="3" w:tplc="B246D4BA" w:tentative="1">
      <w:start w:val="1"/>
      <w:numFmt w:val="bullet"/>
      <w:lvlText w:val="–"/>
      <w:lvlJc w:val="left"/>
      <w:pPr>
        <w:tabs>
          <w:tab w:val="num" w:pos="2880"/>
        </w:tabs>
        <w:ind w:left="2880" w:hanging="360"/>
      </w:pPr>
      <w:rPr>
        <w:rFonts w:ascii="Arial Narrow" w:hAnsi="Arial Narrow" w:hint="default"/>
      </w:rPr>
    </w:lvl>
    <w:lvl w:ilvl="4" w:tplc="68969B46" w:tentative="1">
      <w:start w:val="1"/>
      <w:numFmt w:val="bullet"/>
      <w:lvlText w:val="–"/>
      <w:lvlJc w:val="left"/>
      <w:pPr>
        <w:tabs>
          <w:tab w:val="num" w:pos="3600"/>
        </w:tabs>
        <w:ind w:left="3600" w:hanging="360"/>
      </w:pPr>
      <w:rPr>
        <w:rFonts w:ascii="Arial Narrow" w:hAnsi="Arial Narrow" w:hint="default"/>
      </w:rPr>
    </w:lvl>
    <w:lvl w:ilvl="5" w:tplc="4036ACF2" w:tentative="1">
      <w:start w:val="1"/>
      <w:numFmt w:val="bullet"/>
      <w:lvlText w:val="–"/>
      <w:lvlJc w:val="left"/>
      <w:pPr>
        <w:tabs>
          <w:tab w:val="num" w:pos="4320"/>
        </w:tabs>
        <w:ind w:left="4320" w:hanging="360"/>
      </w:pPr>
      <w:rPr>
        <w:rFonts w:ascii="Arial Narrow" w:hAnsi="Arial Narrow" w:hint="default"/>
      </w:rPr>
    </w:lvl>
    <w:lvl w:ilvl="6" w:tplc="5056483E" w:tentative="1">
      <w:start w:val="1"/>
      <w:numFmt w:val="bullet"/>
      <w:lvlText w:val="–"/>
      <w:lvlJc w:val="left"/>
      <w:pPr>
        <w:tabs>
          <w:tab w:val="num" w:pos="5040"/>
        </w:tabs>
        <w:ind w:left="5040" w:hanging="360"/>
      </w:pPr>
      <w:rPr>
        <w:rFonts w:ascii="Arial Narrow" w:hAnsi="Arial Narrow" w:hint="default"/>
      </w:rPr>
    </w:lvl>
    <w:lvl w:ilvl="7" w:tplc="CA1044CE" w:tentative="1">
      <w:start w:val="1"/>
      <w:numFmt w:val="bullet"/>
      <w:lvlText w:val="–"/>
      <w:lvlJc w:val="left"/>
      <w:pPr>
        <w:tabs>
          <w:tab w:val="num" w:pos="5760"/>
        </w:tabs>
        <w:ind w:left="5760" w:hanging="360"/>
      </w:pPr>
      <w:rPr>
        <w:rFonts w:ascii="Arial Narrow" w:hAnsi="Arial Narrow" w:hint="default"/>
      </w:rPr>
    </w:lvl>
    <w:lvl w:ilvl="8" w:tplc="2974C124" w:tentative="1">
      <w:start w:val="1"/>
      <w:numFmt w:val="bullet"/>
      <w:lvlText w:val="–"/>
      <w:lvlJc w:val="left"/>
      <w:pPr>
        <w:tabs>
          <w:tab w:val="num" w:pos="6480"/>
        </w:tabs>
        <w:ind w:left="6480" w:hanging="360"/>
      </w:pPr>
      <w:rPr>
        <w:rFonts w:ascii="Arial Narrow" w:hAnsi="Arial Narrow" w:hint="default"/>
      </w:rPr>
    </w:lvl>
  </w:abstractNum>
  <w:abstractNum w:abstractNumId="11">
    <w:nsid w:val="2C2A132A"/>
    <w:multiLevelType w:val="hybridMultilevel"/>
    <w:tmpl w:val="A72A8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C7E08E4"/>
    <w:multiLevelType w:val="hybridMultilevel"/>
    <w:tmpl w:val="8F182ABA"/>
    <w:lvl w:ilvl="0" w:tplc="18090013">
      <w:start w:val="1"/>
      <w:numFmt w:val="upp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nsid w:val="2D2526EE"/>
    <w:multiLevelType w:val="hybridMultilevel"/>
    <w:tmpl w:val="93B4F436"/>
    <w:lvl w:ilvl="0" w:tplc="5D84F7E4">
      <w:start w:val="2"/>
      <w:numFmt w:val="bullet"/>
      <w:lvlText w:val="-"/>
      <w:lvlJc w:val="left"/>
      <w:pPr>
        <w:ind w:left="405" w:hanging="360"/>
      </w:pPr>
      <w:rPr>
        <w:rFonts w:ascii="Calibri" w:eastAsiaTheme="minorHAnsi" w:hAnsi="Calibri" w:cstheme="minorBidi" w:hint="default"/>
        <w:b w:val="0"/>
        <w:sz w:val="22"/>
      </w:rPr>
    </w:lvl>
    <w:lvl w:ilvl="1" w:tplc="18090003" w:tentative="1">
      <w:start w:val="1"/>
      <w:numFmt w:val="bullet"/>
      <w:lvlText w:val="o"/>
      <w:lvlJc w:val="left"/>
      <w:pPr>
        <w:ind w:left="1125" w:hanging="360"/>
      </w:pPr>
      <w:rPr>
        <w:rFonts w:ascii="Courier New" w:hAnsi="Courier New" w:cs="Courier New" w:hint="default"/>
      </w:rPr>
    </w:lvl>
    <w:lvl w:ilvl="2" w:tplc="18090005" w:tentative="1">
      <w:start w:val="1"/>
      <w:numFmt w:val="bullet"/>
      <w:lvlText w:val=""/>
      <w:lvlJc w:val="left"/>
      <w:pPr>
        <w:ind w:left="1845" w:hanging="360"/>
      </w:pPr>
      <w:rPr>
        <w:rFonts w:ascii="Wingdings" w:hAnsi="Wingdings" w:hint="default"/>
      </w:rPr>
    </w:lvl>
    <w:lvl w:ilvl="3" w:tplc="18090001" w:tentative="1">
      <w:start w:val="1"/>
      <w:numFmt w:val="bullet"/>
      <w:lvlText w:val=""/>
      <w:lvlJc w:val="left"/>
      <w:pPr>
        <w:ind w:left="2565" w:hanging="360"/>
      </w:pPr>
      <w:rPr>
        <w:rFonts w:ascii="Symbol" w:hAnsi="Symbol" w:hint="default"/>
      </w:rPr>
    </w:lvl>
    <w:lvl w:ilvl="4" w:tplc="18090003" w:tentative="1">
      <w:start w:val="1"/>
      <w:numFmt w:val="bullet"/>
      <w:lvlText w:val="o"/>
      <w:lvlJc w:val="left"/>
      <w:pPr>
        <w:ind w:left="3285" w:hanging="360"/>
      </w:pPr>
      <w:rPr>
        <w:rFonts w:ascii="Courier New" w:hAnsi="Courier New" w:cs="Courier New" w:hint="default"/>
      </w:rPr>
    </w:lvl>
    <w:lvl w:ilvl="5" w:tplc="18090005" w:tentative="1">
      <w:start w:val="1"/>
      <w:numFmt w:val="bullet"/>
      <w:lvlText w:val=""/>
      <w:lvlJc w:val="left"/>
      <w:pPr>
        <w:ind w:left="4005" w:hanging="360"/>
      </w:pPr>
      <w:rPr>
        <w:rFonts w:ascii="Wingdings" w:hAnsi="Wingdings" w:hint="default"/>
      </w:rPr>
    </w:lvl>
    <w:lvl w:ilvl="6" w:tplc="18090001" w:tentative="1">
      <w:start w:val="1"/>
      <w:numFmt w:val="bullet"/>
      <w:lvlText w:val=""/>
      <w:lvlJc w:val="left"/>
      <w:pPr>
        <w:ind w:left="4725" w:hanging="360"/>
      </w:pPr>
      <w:rPr>
        <w:rFonts w:ascii="Symbol" w:hAnsi="Symbol" w:hint="default"/>
      </w:rPr>
    </w:lvl>
    <w:lvl w:ilvl="7" w:tplc="18090003" w:tentative="1">
      <w:start w:val="1"/>
      <w:numFmt w:val="bullet"/>
      <w:lvlText w:val="o"/>
      <w:lvlJc w:val="left"/>
      <w:pPr>
        <w:ind w:left="5445" w:hanging="360"/>
      </w:pPr>
      <w:rPr>
        <w:rFonts w:ascii="Courier New" w:hAnsi="Courier New" w:cs="Courier New" w:hint="default"/>
      </w:rPr>
    </w:lvl>
    <w:lvl w:ilvl="8" w:tplc="18090005" w:tentative="1">
      <w:start w:val="1"/>
      <w:numFmt w:val="bullet"/>
      <w:lvlText w:val=""/>
      <w:lvlJc w:val="left"/>
      <w:pPr>
        <w:ind w:left="6165" w:hanging="360"/>
      </w:pPr>
      <w:rPr>
        <w:rFonts w:ascii="Wingdings" w:hAnsi="Wingdings" w:hint="default"/>
      </w:rPr>
    </w:lvl>
  </w:abstractNum>
  <w:abstractNum w:abstractNumId="14">
    <w:nsid w:val="2D507F5A"/>
    <w:multiLevelType w:val="hybridMultilevel"/>
    <w:tmpl w:val="EE20093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nsid w:val="2EC8639B"/>
    <w:multiLevelType w:val="hybridMultilevel"/>
    <w:tmpl w:val="0AEA280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nsid w:val="31A25B42"/>
    <w:multiLevelType w:val="hybridMultilevel"/>
    <w:tmpl w:val="56184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7852634"/>
    <w:multiLevelType w:val="hybridMultilevel"/>
    <w:tmpl w:val="AB5EC35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nsid w:val="3832229B"/>
    <w:multiLevelType w:val="hybridMultilevel"/>
    <w:tmpl w:val="FA44A49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nsid w:val="39912D5B"/>
    <w:multiLevelType w:val="hybridMultilevel"/>
    <w:tmpl w:val="5F96714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nsid w:val="3B8A6976"/>
    <w:multiLevelType w:val="multilevel"/>
    <w:tmpl w:val="AC8E3CDE"/>
    <w:lvl w:ilvl="0">
      <w:start w:val="1"/>
      <w:numFmt w:val="decimal"/>
      <w:pStyle w:val="Heading1"/>
      <w:lvlText w:val="%1."/>
      <w:lvlJc w:val="left"/>
      <w:pPr>
        <w:ind w:left="5889"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nsid w:val="415464C0"/>
    <w:multiLevelType w:val="hybridMultilevel"/>
    <w:tmpl w:val="932A5856"/>
    <w:lvl w:ilvl="0" w:tplc="EE64FA8C">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nsid w:val="41F525C1"/>
    <w:multiLevelType w:val="hybridMultilevel"/>
    <w:tmpl w:val="FA44A49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nsid w:val="41F92170"/>
    <w:multiLevelType w:val="hybridMultilevel"/>
    <w:tmpl w:val="F4B2F2D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nsid w:val="4B843FC1"/>
    <w:multiLevelType w:val="hybridMultilevel"/>
    <w:tmpl w:val="2982EDE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nsid w:val="4C727097"/>
    <w:multiLevelType w:val="hybridMultilevel"/>
    <w:tmpl w:val="262609F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nsid w:val="4D410682"/>
    <w:multiLevelType w:val="hybridMultilevel"/>
    <w:tmpl w:val="EB5CCC20"/>
    <w:lvl w:ilvl="0" w:tplc="1809000F">
      <w:start w:val="1"/>
      <w:numFmt w:val="decimal"/>
      <w:lvlText w:val="%1."/>
      <w:lvlJc w:val="left"/>
      <w:pPr>
        <w:ind w:left="1637" w:hanging="360"/>
      </w:pPr>
      <w:rPr>
        <w:rFonts w:hint="default"/>
        <w:b w:val="0"/>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nsid w:val="4DB86046"/>
    <w:multiLevelType w:val="hybridMultilevel"/>
    <w:tmpl w:val="F2C61DC6"/>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nsid w:val="4F77522C"/>
    <w:multiLevelType w:val="hybridMultilevel"/>
    <w:tmpl w:val="4A4E088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nsid w:val="4F8F5C55"/>
    <w:multiLevelType w:val="hybridMultilevel"/>
    <w:tmpl w:val="E2FEC9D0"/>
    <w:lvl w:ilvl="0" w:tplc="18090001">
      <w:start w:val="1"/>
      <w:numFmt w:val="bullet"/>
      <w:lvlText w:val=""/>
      <w:lvlJc w:val="left"/>
      <w:pPr>
        <w:ind w:left="776" w:hanging="360"/>
      </w:pPr>
      <w:rPr>
        <w:rFonts w:ascii="Symbol" w:hAnsi="Symbol" w:hint="default"/>
      </w:rPr>
    </w:lvl>
    <w:lvl w:ilvl="1" w:tplc="18090003" w:tentative="1">
      <w:start w:val="1"/>
      <w:numFmt w:val="bullet"/>
      <w:lvlText w:val="o"/>
      <w:lvlJc w:val="left"/>
      <w:pPr>
        <w:ind w:left="1496" w:hanging="360"/>
      </w:pPr>
      <w:rPr>
        <w:rFonts w:ascii="Courier New" w:hAnsi="Courier New" w:cs="Courier New" w:hint="default"/>
      </w:rPr>
    </w:lvl>
    <w:lvl w:ilvl="2" w:tplc="18090005" w:tentative="1">
      <w:start w:val="1"/>
      <w:numFmt w:val="bullet"/>
      <w:lvlText w:val=""/>
      <w:lvlJc w:val="left"/>
      <w:pPr>
        <w:ind w:left="2216" w:hanging="360"/>
      </w:pPr>
      <w:rPr>
        <w:rFonts w:ascii="Wingdings" w:hAnsi="Wingdings" w:hint="default"/>
      </w:rPr>
    </w:lvl>
    <w:lvl w:ilvl="3" w:tplc="18090001" w:tentative="1">
      <w:start w:val="1"/>
      <w:numFmt w:val="bullet"/>
      <w:lvlText w:val=""/>
      <w:lvlJc w:val="left"/>
      <w:pPr>
        <w:ind w:left="2936" w:hanging="360"/>
      </w:pPr>
      <w:rPr>
        <w:rFonts w:ascii="Symbol" w:hAnsi="Symbol" w:hint="default"/>
      </w:rPr>
    </w:lvl>
    <w:lvl w:ilvl="4" w:tplc="18090003" w:tentative="1">
      <w:start w:val="1"/>
      <w:numFmt w:val="bullet"/>
      <w:lvlText w:val="o"/>
      <w:lvlJc w:val="left"/>
      <w:pPr>
        <w:ind w:left="3656" w:hanging="360"/>
      </w:pPr>
      <w:rPr>
        <w:rFonts w:ascii="Courier New" w:hAnsi="Courier New" w:cs="Courier New" w:hint="default"/>
      </w:rPr>
    </w:lvl>
    <w:lvl w:ilvl="5" w:tplc="18090005" w:tentative="1">
      <w:start w:val="1"/>
      <w:numFmt w:val="bullet"/>
      <w:lvlText w:val=""/>
      <w:lvlJc w:val="left"/>
      <w:pPr>
        <w:ind w:left="4376" w:hanging="360"/>
      </w:pPr>
      <w:rPr>
        <w:rFonts w:ascii="Wingdings" w:hAnsi="Wingdings" w:hint="default"/>
      </w:rPr>
    </w:lvl>
    <w:lvl w:ilvl="6" w:tplc="18090001" w:tentative="1">
      <w:start w:val="1"/>
      <w:numFmt w:val="bullet"/>
      <w:lvlText w:val=""/>
      <w:lvlJc w:val="left"/>
      <w:pPr>
        <w:ind w:left="5096" w:hanging="360"/>
      </w:pPr>
      <w:rPr>
        <w:rFonts w:ascii="Symbol" w:hAnsi="Symbol" w:hint="default"/>
      </w:rPr>
    </w:lvl>
    <w:lvl w:ilvl="7" w:tplc="18090003" w:tentative="1">
      <w:start w:val="1"/>
      <w:numFmt w:val="bullet"/>
      <w:lvlText w:val="o"/>
      <w:lvlJc w:val="left"/>
      <w:pPr>
        <w:ind w:left="5816" w:hanging="360"/>
      </w:pPr>
      <w:rPr>
        <w:rFonts w:ascii="Courier New" w:hAnsi="Courier New" w:cs="Courier New" w:hint="default"/>
      </w:rPr>
    </w:lvl>
    <w:lvl w:ilvl="8" w:tplc="18090005" w:tentative="1">
      <w:start w:val="1"/>
      <w:numFmt w:val="bullet"/>
      <w:lvlText w:val=""/>
      <w:lvlJc w:val="left"/>
      <w:pPr>
        <w:ind w:left="6536" w:hanging="360"/>
      </w:pPr>
      <w:rPr>
        <w:rFonts w:ascii="Wingdings" w:hAnsi="Wingdings" w:hint="default"/>
      </w:rPr>
    </w:lvl>
  </w:abstractNum>
  <w:abstractNum w:abstractNumId="30">
    <w:nsid w:val="53D71FBE"/>
    <w:multiLevelType w:val="hybridMultilevel"/>
    <w:tmpl w:val="E8D83DA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nsid w:val="5629253D"/>
    <w:multiLevelType w:val="hybridMultilevel"/>
    <w:tmpl w:val="CFB875CA"/>
    <w:lvl w:ilvl="0" w:tplc="1809000F">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2">
    <w:nsid w:val="58B437D7"/>
    <w:multiLevelType w:val="hybridMultilevel"/>
    <w:tmpl w:val="FDE005A4"/>
    <w:lvl w:ilvl="0" w:tplc="18090017">
      <w:start w:val="1"/>
      <w:numFmt w:val="lowerLetter"/>
      <w:lvlText w:val="%1)"/>
      <w:lvlJc w:val="left"/>
      <w:pPr>
        <w:ind w:left="1162" w:hanging="360"/>
      </w:pPr>
    </w:lvl>
    <w:lvl w:ilvl="1" w:tplc="18090019" w:tentative="1">
      <w:start w:val="1"/>
      <w:numFmt w:val="lowerLetter"/>
      <w:lvlText w:val="%2."/>
      <w:lvlJc w:val="left"/>
      <w:pPr>
        <w:ind w:left="1882" w:hanging="360"/>
      </w:pPr>
    </w:lvl>
    <w:lvl w:ilvl="2" w:tplc="1809001B" w:tentative="1">
      <w:start w:val="1"/>
      <w:numFmt w:val="lowerRoman"/>
      <w:lvlText w:val="%3."/>
      <w:lvlJc w:val="right"/>
      <w:pPr>
        <w:ind w:left="2602" w:hanging="180"/>
      </w:pPr>
    </w:lvl>
    <w:lvl w:ilvl="3" w:tplc="1809000F" w:tentative="1">
      <w:start w:val="1"/>
      <w:numFmt w:val="decimal"/>
      <w:lvlText w:val="%4."/>
      <w:lvlJc w:val="left"/>
      <w:pPr>
        <w:ind w:left="3322" w:hanging="360"/>
      </w:pPr>
    </w:lvl>
    <w:lvl w:ilvl="4" w:tplc="18090019" w:tentative="1">
      <w:start w:val="1"/>
      <w:numFmt w:val="lowerLetter"/>
      <w:lvlText w:val="%5."/>
      <w:lvlJc w:val="left"/>
      <w:pPr>
        <w:ind w:left="4042" w:hanging="360"/>
      </w:pPr>
    </w:lvl>
    <w:lvl w:ilvl="5" w:tplc="1809001B" w:tentative="1">
      <w:start w:val="1"/>
      <w:numFmt w:val="lowerRoman"/>
      <w:lvlText w:val="%6."/>
      <w:lvlJc w:val="right"/>
      <w:pPr>
        <w:ind w:left="4762" w:hanging="180"/>
      </w:pPr>
    </w:lvl>
    <w:lvl w:ilvl="6" w:tplc="1809000F" w:tentative="1">
      <w:start w:val="1"/>
      <w:numFmt w:val="decimal"/>
      <w:lvlText w:val="%7."/>
      <w:lvlJc w:val="left"/>
      <w:pPr>
        <w:ind w:left="5482" w:hanging="360"/>
      </w:pPr>
    </w:lvl>
    <w:lvl w:ilvl="7" w:tplc="18090019" w:tentative="1">
      <w:start w:val="1"/>
      <w:numFmt w:val="lowerLetter"/>
      <w:lvlText w:val="%8."/>
      <w:lvlJc w:val="left"/>
      <w:pPr>
        <w:ind w:left="6202" w:hanging="360"/>
      </w:pPr>
    </w:lvl>
    <w:lvl w:ilvl="8" w:tplc="1809001B" w:tentative="1">
      <w:start w:val="1"/>
      <w:numFmt w:val="lowerRoman"/>
      <w:lvlText w:val="%9."/>
      <w:lvlJc w:val="right"/>
      <w:pPr>
        <w:ind w:left="6922" w:hanging="180"/>
      </w:pPr>
    </w:lvl>
  </w:abstractNum>
  <w:abstractNum w:abstractNumId="33">
    <w:nsid w:val="594505B5"/>
    <w:multiLevelType w:val="hybridMultilevel"/>
    <w:tmpl w:val="2EDAE17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nsid w:val="5993279F"/>
    <w:multiLevelType w:val="hybridMultilevel"/>
    <w:tmpl w:val="6D20E34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nsid w:val="5C6B3C97"/>
    <w:multiLevelType w:val="hybridMultilevel"/>
    <w:tmpl w:val="4D784EB4"/>
    <w:lvl w:ilvl="0" w:tplc="5D84F7E4">
      <w:start w:val="2"/>
      <w:numFmt w:val="bullet"/>
      <w:lvlText w:val="-"/>
      <w:lvlJc w:val="left"/>
      <w:pPr>
        <w:ind w:left="405" w:hanging="360"/>
      </w:pPr>
      <w:rPr>
        <w:rFonts w:ascii="Calibri" w:eastAsiaTheme="minorHAnsi" w:hAnsi="Calibri" w:cstheme="minorBidi" w:hint="default"/>
        <w:b w:val="0"/>
        <w:sz w:val="22"/>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nsid w:val="65263AA5"/>
    <w:multiLevelType w:val="hybridMultilevel"/>
    <w:tmpl w:val="FD08E71A"/>
    <w:lvl w:ilvl="0" w:tplc="83D0426E">
      <w:start w:val="3"/>
      <w:numFmt w:val="bullet"/>
      <w:lvlText w:val="-"/>
      <w:lvlJc w:val="left"/>
      <w:pPr>
        <w:ind w:left="1080" w:hanging="360"/>
      </w:pPr>
      <w:rPr>
        <w:rFonts w:ascii="Calibri" w:eastAsiaTheme="minorHAnsi" w:hAnsi="Calibri" w:cstheme="minorBidi"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7">
    <w:nsid w:val="6B3C3444"/>
    <w:multiLevelType w:val="multilevel"/>
    <w:tmpl w:val="C00040BC"/>
    <w:lvl w:ilvl="0">
      <w:start w:val="1"/>
      <w:numFmt w:val="decimal"/>
      <w:lvlText w:val="%1.0"/>
      <w:lvlJc w:val="left"/>
      <w:pPr>
        <w:ind w:left="435" w:hanging="435"/>
      </w:pPr>
      <w:rPr>
        <w:rFonts w:hint="default"/>
      </w:rPr>
    </w:lvl>
    <w:lvl w:ilvl="1">
      <w:start w:val="1"/>
      <w:numFmt w:val="decimal"/>
      <w:lvlText w:val="%1.%2"/>
      <w:lvlJc w:val="left"/>
      <w:pPr>
        <w:ind w:left="1155" w:hanging="43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8">
    <w:nsid w:val="6BA96FE4"/>
    <w:multiLevelType w:val="hybridMultilevel"/>
    <w:tmpl w:val="BE30E0C4"/>
    <w:lvl w:ilvl="0" w:tplc="1809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9">
    <w:nsid w:val="6C5B213A"/>
    <w:multiLevelType w:val="hybridMultilevel"/>
    <w:tmpl w:val="BF7A52D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0">
    <w:nsid w:val="6E406931"/>
    <w:multiLevelType w:val="multilevel"/>
    <w:tmpl w:val="06AC474C"/>
    <w:lvl w:ilvl="0">
      <w:start w:val="1"/>
      <w:numFmt w:val="decimal"/>
      <w:lvlText w:val="%1."/>
      <w:lvlJc w:val="left"/>
      <w:pPr>
        <w:ind w:left="927" w:hanging="360"/>
      </w:pPr>
    </w:lvl>
    <w:lvl w:ilvl="1">
      <w:start w:val="3"/>
      <w:numFmt w:val="decimal"/>
      <w:isLgl/>
      <w:lvlText w:val="%1.%2"/>
      <w:lvlJc w:val="left"/>
      <w:pPr>
        <w:ind w:left="928"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nsid w:val="6FD06006"/>
    <w:multiLevelType w:val="hybridMultilevel"/>
    <w:tmpl w:val="3EA2167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2">
    <w:nsid w:val="798F30D8"/>
    <w:multiLevelType w:val="multilevel"/>
    <w:tmpl w:val="DE60B55C"/>
    <w:lvl w:ilvl="0">
      <w:start w:val="1"/>
      <w:numFmt w:val="decimal"/>
      <w:lvlRestart w:val="0"/>
      <w:lvlText w:val=""/>
      <w:lvlJc w:val="left"/>
      <w:pPr>
        <w:tabs>
          <w:tab w:val="num" w:pos="0"/>
        </w:tabs>
        <w:ind w:left="0" w:firstLine="0"/>
      </w:pPr>
      <w:rPr>
        <w:rFonts w:ascii="EYInterstate Light" w:hAnsi="EYInterstate Light"/>
        <w:b/>
        <w:color w:val="7F7E82"/>
        <w:sz w:val="32"/>
      </w:rPr>
    </w:lvl>
    <w:lvl w:ilvl="1">
      <w:start w:val="1"/>
      <w:numFmt w:val="decimal"/>
      <w:lvlText w:val=""/>
      <w:lvlJc w:val="left"/>
      <w:pPr>
        <w:tabs>
          <w:tab w:val="num" w:pos="0"/>
        </w:tabs>
        <w:ind w:left="0" w:firstLine="0"/>
      </w:pPr>
      <w:rPr>
        <w:rFonts w:hint="default"/>
        <w:b/>
        <w:color w:val="000000"/>
        <w:sz w:val="28"/>
      </w:rPr>
    </w:lvl>
    <w:lvl w:ilvl="2">
      <w:start w:val="1"/>
      <w:numFmt w:val="decimal"/>
      <w:lvlRestart w:val="1"/>
      <w:lvlText w:val=""/>
      <w:lvlJc w:val="left"/>
      <w:pPr>
        <w:tabs>
          <w:tab w:val="num" w:pos="0"/>
        </w:tabs>
        <w:ind w:left="0" w:firstLine="0"/>
      </w:pPr>
      <w:rPr>
        <w:rFonts w:hint="default"/>
        <w:b/>
        <w:color w:val="000000"/>
        <w:sz w:val="24"/>
      </w:rPr>
    </w:lvl>
    <w:lvl w:ilvl="3">
      <w:start w:val="1"/>
      <w:numFmt w:val="decimal"/>
      <w:lvlRestart w:val="1"/>
      <w:lvlText w:val=""/>
      <w:lvlJc w:val="left"/>
      <w:pPr>
        <w:tabs>
          <w:tab w:val="num" w:pos="0"/>
        </w:tabs>
        <w:ind w:left="0" w:firstLine="0"/>
      </w:pPr>
      <w:rPr>
        <w:rFonts w:hint="default"/>
        <w:b/>
        <w:color w:val="000000"/>
        <w:sz w:val="20"/>
      </w:rPr>
    </w:lvl>
    <w:lvl w:ilvl="4">
      <w:start w:val="1"/>
      <w:numFmt w:val="bullet"/>
      <w:pStyle w:val="EYBodytextwithparaspace"/>
      <w:lvlText w:val=""/>
      <w:lvlJc w:val="left"/>
      <w:pPr>
        <w:tabs>
          <w:tab w:val="num" w:pos="0"/>
        </w:tabs>
        <w:ind w:left="0" w:firstLine="0"/>
      </w:pPr>
      <w:rPr>
        <w:rFonts w:ascii="Symbol" w:hAnsi="Symbol" w:hint="default"/>
        <w:b w:val="0"/>
        <w:color w:val="000000"/>
        <w:sz w:val="20"/>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43">
    <w:nsid w:val="7B3A334F"/>
    <w:multiLevelType w:val="hybridMultilevel"/>
    <w:tmpl w:val="4E7205AE"/>
    <w:lvl w:ilvl="0" w:tplc="18090001">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start w:val="1"/>
      <w:numFmt w:val="bullet"/>
      <w:lvlText w:val=""/>
      <w:lvlJc w:val="left"/>
      <w:pPr>
        <w:ind w:left="2880" w:hanging="360"/>
      </w:pPr>
      <w:rPr>
        <w:rFonts w:ascii="Wingdings" w:hAnsi="Wingdings" w:hint="default"/>
      </w:rPr>
    </w:lvl>
    <w:lvl w:ilvl="3" w:tplc="18090001">
      <w:start w:val="1"/>
      <w:numFmt w:val="bullet"/>
      <w:lvlText w:val=""/>
      <w:lvlJc w:val="left"/>
      <w:pPr>
        <w:ind w:left="3600" w:hanging="360"/>
      </w:pPr>
      <w:rPr>
        <w:rFonts w:ascii="Symbol" w:hAnsi="Symbol" w:hint="default"/>
      </w:rPr>
    </w:lvl>
    <w:lvl w:ilvl="4" w:tplc="18090003">
      <w:start w:val="1"/>
      <w:numFmt w:val="bullet"/>
      <w:lvlText w:val="o"/>
      <w:lvlJc w:val="left"/>
      <w:pPr>
        <w:ind w:left="4320" w:hanging="360"/>
      </w:pPr>
      <w:rPr>
        <w:rFonts w:ascii="Courier New" w:hAnsi="Courier New" w:cs="Courier New" w:hint="default"/>
      </w:rPr>
    </w:lvl>
    <w:lvl w:ilvl="5" w:tplc="18090005">
      <w:start w:val="1"/>
      <w:numFmt w:val="bullet"/>
      <w:lvlText w:val=""/>
      <w:lvlJc w:val="left"/>
      <w:pPr>
        <w:ind w:left="5040" w:hanging="360"/>
      </w:pPr>
      <w:rPr>
        <w:rFonts w:ascii="Wingdings" w:hAnsi="Wingdings" w:hint="default"/>
      </w:rPr>
    </w:lvl>
    <w:lvl w:ilvl="6" w:tplc="18090001">
      <w:start w:val="1"/>
      <w:numFmt w:val="bullet"/>
      <w:lvlText w:val=""/>
      <w:lvlJc w:val="left"/>
      <w:pPr>
        <w:ind w:left="5760" w:hanging="360"/>
      </w:pPr>
      <w:rPr>
        <w:rFonts w:ascii="Symbol" w:hAnsi="Symbol" w:hint="default"/>
      </w:rPr>
    </w:lvl>
    <w:lvl w:ilvl="7" w:tplc="18090003">
      <w:start w:val="1"/>
      <w:numFmt w:val="bullet"/>
      <w:lvlText w:val="o"/>
      <w:lvlJc w:val="left"/>
      <w:pPr>
        <w:ind w:left="6480" w:hanging="360"/>
      </w:pPr>
      <w:rPr>
        <w:rFonts w:ascii="Courier New" w:hAnsi="Courier New" w:cs="Courier New" w:hint="default"/>
      </w:rPr>
    </w:lvl>
    <w:lvl w:ilvl="8" w:tplc="18090005">
      <w:start w:val="1"/>
      <w:numFmt w:val="bullet"/>
      <w:lvlText w:val=""/>
      <w:lvlJc w:val="left"/>
      <w:pPr>
        <w:ind w:left="7200" w:hanging="360"/>
      </w:pPr>
      <w:rPr>
        <w:rFonts w:ascii="Wingdings" w:hAnsi="Wingdings" w:hint="default"/>
      </w:rPr>
    </w:lvl>
  </w:abstractNum>
  <w:abstractNum w:abstractNumId="44">
    <w:nsid w:val="7D004419"/>
    <w:multiLevelType w:val="hybridMultilevel"/>
    <w:tmpl w:val="63CAD8E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5"/>
  </w:num>
  <w:num w:numId="2">
    <w:abstractNumId w:val="41"/>
  </w:num>
  <w:num w:numId="3">
    <w:abstractNumId w:val="39"/>
  </w:num>
  <w:num w:numId="4">
    <w:abstractNumId w:val="34"/>
  </w:num>
  <w:num w:numId="5">
    <w:abstractNumId w:val="13"/>
  </w:num>
  <w:num w:numId="6">
    <w:abstractNumId w:val="43"/>
  </w:num>
  <w:num w:numId="7">
    <w:abstractNumId w:val="31"/>
  </w:num>
  <w:num w:numId="8">
    <w:abstractNumId w:val="2"/>
  </w:num>
  <w:num w:numId="9">
    <w:abstractNumId w:val="44"/>
  </w:num>
  <w:num w:numId="10">
    <w:abstractNumId w:val="35"/>
  </w:num>
  <w:num w:numId="11">
    <w:abstractNumId w:val="8"/>
  </w:num>
  <w:num w:numId="12">
    <w:abstractNumId w:val="36"/>
  </w:num>
  <w:num w:numId="13">
    <w:abstractNumId w:val="9"/>
  </w:num>
  <w:num w:numId="14">
    <w:abstractNumId w:val="25"/>
  </w:num>
  <w:num w:numId="15">
    <w:abstractNumId w:val="24"/>
  </w:num>
  <w:num w:numId="16">
    <w:abstractNumId w:val="0"/>
  </w:num>
  <w:num w:numId="17">
    <w:abstractNumId w:val="5"/>
  </w:num>
  <w:num w:numId="18">
    <w:abstractNumId w:val="4"/>
  </w:num>
  <w:num w:numId="19">
    <w:abstractNumId w:val="30"/>
  </w:num>
  <w:num w:numId="20">
    <w:abstractNumId w:val="37"/>
  </w:num>
  <w:num w:numId="21">
    <w:abstractNumId w:val="27"/>
  </w:num>
  <w:num w:numId="22">
    <w:abstractNumId w:val="12"/>
  </w:num>
  <w:num w:numId="23">
    <w:abstractNumId w:val="38"/>
  </w:num>
  <w:num w:numId="24">
    <w:abstractNumId w:val="19"/>
  </w:num>
  <w:num w:numId="25">
    <w:abstractNumId w:val="20"/>
  </w:num>
  <w:num w:numId="26">
    <w:abstractNumId w:val="23"/>
  </w:num>
  <w:num w:numId="27">
    <w:abstractNumId w:val="40"/>
  </w:num>
  <w:num w:numId="28">
    <w:abstractNumId w:val="28"/>
  </w:num>
  <w:num w:numId="29">
    <w:abstractNumId w:val="33"/>
  </w:num>
  <w:num w:numId="30">
    <w:abstractNumId w:val="14"/>
  </w:num>
  <w:num w:numId="31">
    <w:abstractNumId w:val="16"/>
  </w:num>
  <w:num w:numId="32">
    <w:abstractNumId w:val="11"/>
  </w:num>
  <w:num w:numId="33">
    <w:abstractNumId w:val="3"/>
  </w:num>
  <w:num w:numId="34">
    <w:abstractNumId w:val="17"/>
  </w:num>
  <w:num w:numId="35">
    <w:abstractNumId w:val="10"/>
  </w:num>
  <w:num w:numId="36">
    <w:abstractNumId w:val="42"/>
  </w:num>
  <w:num w:numId="37">
    <w:abstractNumId w:val="21"/>
  </w:num>
  <w:num w:numId="38">
    <w:abstractNumId w:val="26"/>
  </w:num>
  <w:num w:numId="39">
    <w:abstractNumId w:val="32"/>
  </w:num>
  <w:num w:numId="40">
    <w:abstractNumId w:val="7"/>
  </w:num>
  <w:num w:numId="41">
    <w:abstractNumId w:val="1"/>
  </w:num>
  <w:num w:numId="42">
    <w:abstractNumId w:val="6"/>
  </w:num>
  <w:num w:numId="43">
    <w:abstractNumId w:val="22"/>
  </w:num>
  <w:num w:numId="44">
    <w:abstractNumId w:val="18"/>
  </w:num>
  <w:num w:numId="4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632"/>
    <w:rsid w:val="00000CD3"/>
    <w:rsid w:val="00005444"/>
    <w:rsid w:val="0000574A"/>
    <w:rsid w:val="00007E18"/>
    <w:rsid w:val="00014AFF"/>
    <w:rsid w:val="0001551B"/>
    <w:rsid w:val="00023199"/>
    <w:rsid w:val="00023B54"/>
    <w:rsid w:val="000276D0"/>
    <w:rsid w:val="0003103F"/>
    <w:rsid w:val="00031CDF"/>
    <w:rsid w:val="00040432"/>
    <w:rsid w:val="00043FE5"/>
    <w:rsid w:val="00044AED"/>
    <w:rsid w:val="00046938"/>
    <w:rsid w:val="0005288D"/>
    <w:rsid w:val="00052A10"/>
    <w:rsid w:val="00057E32"/>
    <w:rsid w:val="0006385B"/>
    <w:rsid w:val="00063C86"/>
    <w:rsid w:val="0006423B"/>
    <w:rsid w:val="00065510"/>
    <w:rsid w:val="00065AB4"/>
    <w:rsid w:val="000704C1"/>
    <w:rsid w:val="0007245D"/>
    <w:rsid w:val="000749FA"/>
    <w:rsid w:val="00075442"/>
    <w:rsid w:val="00077A11"/>
    <w:rsid w:val="0008000D"/>
    <w:rsid w:val="00083FB7"/>
    <w:rsid w:val="000852C9"/>
    <w:rsid w:val="000866C8"/>
    <w:rsid w:val="000A03CB"/>
    <w:rsid w:val="000A2784"/>
    <w:rsid w:val="000A43A0"/>
    <w:rsid w:val="000A6354"/>
    <w:rsid w:val="000A7468"/>
    <w:rsid w:val="000B0799"/>
    <w:rsid w:val="000B276D"/>
    <w:rsid w:val="000C047C"/>
    <w:rsid w:val="000C288A"/>
    <w:rsid w:val="000D0DE6"/>
    <w:rsid w:val="000D1052"/>
    <w:rsid w:val="000D2D42"/>
    <w:rsid w:val="000D583E"/>
    <w:rsid w:val="000E3D56"/>
    <w:rsid w:val="000E61AA"/>
    <w:rsid w:val="000F0062"/>
    <w:rsid w:val="000F34CB"/>
    <w:rsid w:val="001022F2"/>
    <w:rsid w:val="00105A80"/>
    <w:rsid w:val="00105B0C"/>
    <w:rsid w:val="00105E1B"/>
    <w:rsid w:val="0011086B"/>
    <w:rsid w:val="00111F6B"/>
    <w:rsid w:val="00112D63"/>
    <w:rsid w:val="001161DA"/>
    <w:rsid w:val="00120D4B"/>
    <w:rsid w:val="00125847"/>
    <w:rsid w:val="0013069E"/>
    <w:rsid w:val="00134DE4"/>
    <w:rsid w:val="00151678"/>
    <w:rsid w:val="001525FD"/>
    <w:rsid w:val="00154782"/>
    <w:rsid w:val="00155970"/>
    <w:rsid w:val="001600CC"/>
    <w:rsid w:val="00163F0F"/>
    <w:rsid w:val="00172AE9"/>
    <w:rsid w:val="00173177"/>
    <w:rsid w:val="0017406E"/>
    <w:rsid w:val="00174C61"/>
    <w:rsid w:val="001768A4"/>
    <w:rsid w:val="00180751"/>
    <w:rsid w:val="00182C59"/>
    <w:rsid w:val="00194F04"/>
    <w:rsid w:val="001A00E3"/>
    <w:rsid w:val="001B0C8F"/>
    <w:rsid w:val="001B6C18"/>
    <w:rsid w:val="001C310D"/>
    <w:rsid w:val="001C7FEE"/>
    <w:rsid w:val="001D6479"/>
    <w:rsid w:val="001D7CF7"/>
    <w:rsid w:val="001E212A"/>
    <w:rsid w:val="001E266D"/>
    <w:rsid w:val="001E2BDC"/>
    <w:rsid w:val="001F2CB9"/>
    <w:rsid w:val="00203B0B"/>
    <w:rsid w:val="00214D19"/>
    <w:rsid w:val="002203A3"/>
    <w:rsid w:val="00221FCA"/>
    <w:rsid w:val="00225054"/>
    <w:rsid w:val="002319F0"/>
    <w:rsid w:val="00236579"/>
    <w:rsid w:val="002372A2"/>
    <w:rsid w:val="00237D4C"/>
    <w:rsid w:val="00240158"/>
    <w:rsid w:val="00242E9A"/>
    <w:rsid w:val="00246223"/>
    <w:rsid w:val="002551BE"/>
    <w:rsid w:val="00262900"/>
    <w:rsid w:val="002735E4"/>
    <w:rsid w:val="00277347"/>
    <w:rsid w:val="002804F7"/>
    <w:rsid w:val="00282AA6"/>
    <w:rsid w:val="002871EA"/>
    <w:rsid w:val="0029614A"/>
    <w:rsid w:val="00297673"/>
    <w:rsid w:val="002B0F9A"/>
    <w:rsid w:val="002B5317"/>
    <w:rsid w:val="002C24C9"/>
    <w:rsid w:val="002C47CB"/>
    <w:rsid w:val="002C4C9E"/>
    <w:rsid w:val="002C6D6D"/>
    <w:rsid w:val="002F08F1"/>
    <w:rsid w:val="002F0BC5"/>
    <w:rsid w:val="002F2DDB"/>
    <w:rsid w:val="002F2F54"/>
    <w:rsid w:val="002F623D"/>
    <w:rsid w:val="00302E17"/>
    <w:rsid w:val="0030731E"/>
    <w:rsid w:val="00314864"/>
    <w:rsid w:val="003174D4"/>
    <w:rsid w:val="00320781"/>
    <w:rsid w:val="00324022"/>
    <w:rsid w:val="003255F0"/>
    <w:rsid w:val="003267D1"/>
    <w:rsid w:val="00326B7D"/>
    <w:rsid w:val="00333CF5"/>
    <w:rsid w:val="0033775B"/>
    <w:rsid w:val="00340A66"/>
    <w:rsid w:val="003413A2"/>
    <w:rsid w:val="00341E38"/>
    <w:rsid w:val="00344906"/>
    <w:rsid w:val="00345486"/>
    <w:rsid w:val="00347503"/>
    <w:rsid w:val="00355FA4"/>
    <w:rsid w:val="00356F36"/>
    <w:rsid w:val="003575BE"/>
    <w:rsid w:val="00361AAD"/>
    <w:rsid w:val="00364DF4"/>
    <w:rsid w:val="00372632"/>
    <w:rsid w:val="003737B0"/>
    <w:rsid w:val="00381D3B"/>
    <w:rsid w:val="0038562F"/>
    <w:rsid w:val="0039310E"/>
    <w:rsid w:val="00393776"/>
    <w:rsid w:val="00394D83"/>
    <w:rsid w:val="003A1D5C"/>
    <w:rsid w:val="003A7380"/>
    <w:rsid w:val="003B70F1"/>
    <w:rsid w:val="003C18AA"/>
    <w:rsid w:val="003C6EEF"/>
    <w:rsid w:val="003D1A6D"/>
    <w:rsid w:val="003D57D7"/>
    <w:rsid w:val="003D5F60"/>
    <w:rsid w:val="003E775A"/>
    <w:rsid w:val="003F096F"/>
    <w:rsid w:val="003F44D1"/>
    <w:rsid w:val="003F75A4"/>
    <w:rsid w:val="00401E7C"/>
    <w:rsid w:val="0040257F"/>
    <w:rsid w:val="004135B6"/>
    <w:rsid w:val="00416A25"/>
    <w:rsid w:val="00427747"/>
    <w:rsid w:val="0043225D"/>
    <w:rsid w:val="00434318"/>
    <w:rsid w:val="00441D5E"/>
    <w:rsid w:val="00443FA8"/>
    <w:rsid w:val="00450BFF"/>
    <w:rsid w:val="00450D6C"/>
    <w:rsid w:val="00451753"/>
    <w:rsid w:val="00456208"/>
    <w:rsid w:val="00462C04"/>
    <w:rsid w:val="00463B2F"/>
    <w:rsid w:val="00473B01"/>
    <w:rsid w:val="00475992"/>
    <w:rsid w:val="00476431"/>
    <w:rsid w:val="00477AC6"/>
    <w:rsid w:val="0048335F"/>
    <w:rsid w:val="004834CF"/>
    <w:rsid w:val="00487B8D"/>
    <w:rsid w:val="004A1120"/>
    <w:rsid w:val="004A2E4E"/>
    <w:rsid w:val="004C32B5"/>
    <w:rsid w:val="004C4843"/>
    <w:rsid w:val="004D040F"/>
    <w:rsid w:val="004D43BE"/>
    <w:rsid w:val="004E1552"/>
    <w:rsid w:val="004E3D33"/>
    <w:rsid w:val="004E7078"/>
    <w:rsid w:val="004F1AC6"/>
    <w:rsid w:val="004F375E"/>
    <w:rsid w:val="005034A7"/>
    <w:rsid w:val="00507510"/>
    <w:rsid w:val="00511878"/>
    <w:rsid w:val="00526146"/>
    <w:rsid w:val="005419E2"/>
    <w:rsid w:val="0054490F"/>
    <w:rsid w:val="00547074"/>
    <w:rsid w:val="00551B3B"/>
    <w:rsid w:val="00557980"/>
    <w:rsid w:val="00560F11"/>
    <w:rsid w:val="00575706"/>
    <w:rsid w:val="00575AEC"/>
    <w:rsid w:val="00575CB7"/>
    <w:rsid w:val="00576F81"/>
    <w:rsid w:val="005815EB"/>
    <w:rsid w:val="005851B3"/>
    <w:rsid w:val="005A06A2"/>
    <w:rsid w:val="005A333C"/>
    <w:rsid w:val="005B36F2"/>
    <w:rsid w:val="005B59D7"/>
    <w:rsid w:val="005C5B35"/>
    <w:rsid w:val="005D5356"/>
    <w:rsid w:val="005D5754"/>
    <w:rsid w:val="005E561B"/>
    <w:rsid w:val="005F0210"/>
    <w:rsid w:val="005F0631"/>
    <w:rsid w:val="006003F1"/>
    <w:rsid w:val="00606392"/>
    <w:rsid w:val="00611A29"/>
    <w:rsid w:val="0061678A"/>
    <w:rsid w:val="00624534"/>
    <w:rsid w:val="00631D60"/>
    <w:rsid w:val="006442E3"/>
    <w:rsid w:val="00646BBC"/>
    <w:rsid w:val="00650D3E"/>
    <w:rsid w:val="00652BBC"/>
    <w:rsid w:val="00660800"/>
    <w:rsid w:val="00660E8D"/>
    <w:rsid w:val="00661A84"/>
    <w:rsid w:val="00666B74"/>
    <w:rsid w:val="00671EC5"/>
    <w:rsid w:val="00673D06"/>
    <w:rsid w:val="00676E4C"/>
    <w:rsid w:val="00684066"/>
    <w:rsid w:val="006859CC"/>
    <w:rsid w:val="006867B6"/>
    <w:rsid w:val="00687092"/>
    <w:rsid w:val="00692F3B"/>
    <w:rsid w:val="00696F16"/>
    <w:rsid w:val="00696F33"/>
    <w:rsid w:val="006A7F04"/>
    <w:rsid w:val="006B1B33"/>
    <w:rsid w:val="006B45DF"/>
    <w:rsid w:val="006C3E46"/>
    <w:rsid w:val="006C76BC"/>
    <w:rsid w:val="006D754B"/>
    <w:rsid w:val="006F22E0"/>
    <w:rsid w:val="006F759A"/>
    <w:rsid w:val="00700A22"/>
    <w:rsid w:val="00704745"/>
    <w:rsid w:val="00704CDC"/>
    <w:rsid w:val="00704F46"/>
    <w:rsid w:val="007118D0"/>
    <w:rsid w:val="007134A2"/>
    <w:rsid w:val="0071651D"/>
    <w:rsid w:val="00716C63"/>
    <w:rsid w:val="00724AFF"/>
    <w:rsid w:val="00724D39"/>
    <w:rsid w:val="007311BF"/>
    <w:rsid w:val="00746125"/>
    <w:rsid w:val="00747548"/>
    <w:rsid w:val="00750A8A"/>
    <w:rsid w:val="00756532"/>
    <w:rsid w:val="007575C3"/>
    <w:rsid w:val="007700A1"/>
    <w:rsid w:val="00773B13"/>
    <w:rsid w:val="00780E94"/>
    <w:rsid w:val="00781E4A"/>
    <w:rsid w:val="00782A8C"/>
    <w:rsid w:val="007916CB"/>
    <w:rsid w:val="00792349"/>
    <w:rsid w:val="00795891"/>
    <w:rsid w:val="007A53C6"/>
    <w:rsid w:val="007B073E"/>
    <w:rsid w:val="007B6C23"/>
    <w:rsid w:val="007D0511"/>
    <w:rsid w:val="007D0BF2"/>
    <w:rsid w:val="007D1777"/>
    <w:rsid w:val="007D2DF8"/>
    <w:rsid w:val="007D57BB"/>
    <w:rsid w:val="007D6DF0"/>
    <w:rsid w:val="007D7DA0"/>
    <w:rsid w:val="007F379D"/>
    <w:rsid w:val="007F5DD6"/>
    <w:rsid w:val="007F6D43"/>
    <w:rsid w:val="00805756"/>
    <w:rsid w:val="0081440C"/>
    <w:rsid w:val="008145EA"/>
    <w:rsid w:val="0081483C"/>
    <w:rsid w:val="0081713E"/>
    <w:rsid w:val="00824C15"/>
    <w:rsid w:val="00842C41"/>
    <w:rsid w:val="0085327C"/>
    <w:rsid w:val="0085363B"/>
    <w:rsid w:val="00860419"/>
    <w:rsid w:val="008674AD"/>
    <w:rsid w:val="008739F3"/>
    <w:rsid w:val="00882AF1"/>
    <w:rsid w:val="00894673"/>
    <w:rsid w:val="008B4B78"/>
    <w:rsid w:val="008C56B3"/>
    <w:rsid w:val="008D12D5"/>
    <w:rsid w:val="008D7646"/>
    <w:rsid w:val="008E09D0"/>
    <w:rsid w:val="008E1DFD"/>
    <w:rsid w:val="008E420E"/>
    <w:rsid w:val="008F08D8"/>
    <w:rsid w:val="008F22B0"/>
    <w:rsid w:val="008F6103"/>
    <w:rsid w:val="008F725E"/>
    <w:rsid w:val="008F7773"/>
    <w:rsid w:val="00904A8A"/>
    <w:rsid w:val="009071D3"/>
    <w:rsid w:val="00913787"/>
    <w:rsid w:val="009141CA"/>
    <w:rsid w:val="00917CB0"/>
    <w:rsid w:val="00921683"/>
    <w:rsid w:val="00922E93"/>
    <w:rsid w:val="009250CB"/>
    <w:rsid w:val="00925626"/>
    <w:rsid w:val="0093182F"/>
    <w:rsid w:val="00933B66"/>
    <w:rsid w:val="00935645"/>
    <w:rsid w:val="009445D9"/>
    <w:rsid w:val="009471E3"/>
    <w:rsid w:val="00951A0E"/>
    <w:rsid w:val="00952008"/>
    <w:rsid w:val="00955614"/>
    <w:rsid w:val="0096052C"/>
    <w:rsid w:val="00970FD5"/>
    <w:rsid w:val="00974CC1"/>
    <w:rsid w:val="0098042F"/>
    <w:rsid w:val="00985045"/>
    <w:rsid w:val="00996173"/>
    <w:rsid w:val="009A267B"/>
    <w:rsid w:val="009A393A"/>
    <w:rsid w:val="009B1B2D"/>
    <w:rsid w:val="009B44AE"/>
    <w:rsid w:val="009B5F96"/>
    <w:rsid w:val="009C1736"/>
    <w:rsid w:val="009C5D3F"/>
    <w:rsid w:val="009D10E1"/>
    <w:rsid w:val="009D5A9F"/>
    <w:rsid w:val="009E1F57"/>
    <w:rsid w:val="009E584F"/>
    <w:rsid w:val="009E72E4"/>
    <w:rsid w:val="009F092B"/>
    <w:rsid w:val="009F2172"/>
    <w:rsid w:val="009F785F"/>
    <w:rsid w:val="00A03DE6"/>
    <w:rsid w:val="00A05864"/>
    <w:rsid w:val="00A11523"/>
    <w:rsid w:val="00A13E07"/>
    <w:rsid w:val="00A2222B"/>
    <w:rsid w:val="00A23CF7"/>
    <w:rsid w:val="00A3002D"/>
    <w:rsid w:val="00A35FB6"/>
    <w:rsid w:val="00A439A2"/>
    <w:rsid w:val="00A46661"/>
    <w:rsid w:val="00A46A57"/>
    <w:rsid w:val="00A47586"/>
    <w:rsid w:val="00A5344B"/>
    <w:rsid w:val="00A54A0A"/>
    <w:rsid w:val="00A569E8"/>
    <w:rsid w:val="00A571B7"/>
    <w:rsid w:val="00A634C4"/>
    <w:rsid w:val="00A774F2"/>
    <w:rsid w:val="00A81120"/>
    <w:rsid w:val="00A85FC8"/>
    <w:rsid w:val="00A8617B"/>
    <w:rsid w:val="00A9012A"/>
    <w:rsid w:val="00A91C90"/>
    <w:rsid w:val="00A9229D"/>
    <w:rsid w:val="00A97C42"/>
    <w:rsid w:val="00AA0194"/>
    <w:rsid w:val="00AA0D48"/>
    <w:rsid w:val="00AA1A80"/>
    <w:rsid w:val="00AA257F"/>
    <w:rsid w:val="00AA3D60"/>
    <w:rsid w:val="00AA6290"/>
    <w:rsid w:val="00AB1252"/>
    <w:rsid w:val="00AB23B5"/>
    <w:rsid w:val="00AB6F60"/>
    <w:rsid w:val="00AC554D"/>
    <w:rsid w:val="00AC6E1B"/>
    <w:rsid w:val="00AC7D5A"/>
    <w:rsid w:val="00AE23D6"/>
    <w:rsid w:val="00AF5E03"/>
    <w:rsid w:val="00B00B7E"/>
    <w:rsid w:val="00B1799C"/>
    <w:rsid w:val="00B24B76"/>
    <w:rsid w:val="00B257A0"/>
    <w:rsid w:val="00B2604A"/>
    <w:rsid w:val="00B2650F"/>
    <w:rsid w:val="00B30B65"/>
    <w:rsid w:val="00B32D7E"/>
    <w:rsid w:val="00B3568C"/>
    <w:rsid w:val="00B40ACD"/>
    <w:rsid w:val="00B40D89"/>
    <w:rsid w:val="00B425A7"/>
    <w:rsid w:val="00B43099"/>
    <w:rsid w:val="00B44308"/>
    <w:rsid w:val="00B46349"/>
    <w:rsid w:val="00B51C16"/>
    <w:rsid w:val="00B57405"/>
    <w:rsid w:val="00B61728"/>
    <w:rsid w:val="00B6197B"/>
    <w:rsid w:val="00B668CC"/>
    <w:rsid w:val="00B74480"/>
    <w:rsid w:val="00B75B3B"/>
    <w:rsid w:val="00B76D1F"/>
    <w:rsid w:val="00B80AC0"/>
    <w:rsid w:val="00B850CE"/>
    <w:rsid w:val="00B86A03"/>
    <w:rsid w:val="00B92D84"/>
    <w:rsid w:val="00B954A0"/>
    <w:rsid w:val="00BA4BE1"/>
    <w:rsid w:val="00BA6F94"/>
    <w:rsid w:val="00BB64E2"/>
    <w:rsid w:val="00BB70F1"/>
    <w:rsid w:val="00BB7492"/>
    <w:rsid w:val="00BB7F4A"/>
    <w:rsid w:val="00BC7A6F"/>
    <w:rsid w:val="00BD2351"/>
    <w:rsid w:val="00BE5D44"/>
    <w:rsid w:val="00BF096B"/>
    <w:rsid w:val="00BF4186"/>
    <w:rsid w:val="00C00C3D"/>
    <w:rsid w:val="00C05497"/>
    <w:rsid w:val="00C24A76"/>
    <w:rsid w:val="00C27E32"/>
    <w:rsid w:val="00C32F68"/>
    <w:rsid w:val="00C3590C"/>
    <w:rsid w:val="00C42B6F"/>
    <w:rsid w:val="00C445BB"/>
    <w:rsid w:val="00C45F7A"/>
    <w:rsid w:val="00C50162"/>
    <w:rsid w:val="00C523C8"/>
    <w:rsid w:val="00C532F1"/>
    <w:rsid w:val="00C7026F"/>
    <w:rsid w:val="00C718F5"/>
    <w:rsid w:val="00C7313B"/>
    <w:rsid w:val="00C836C6"/>
    <w:rsid w:val="00C8619F"/>
    <w:rsid w:val="00C96870"/>
    <w:rsid w:val="00CA0C5E"/>
    <w:rsid w:val="00CA3916"/>
    <w:rsid w:val="00CB7527"/>
    <w:rsid w:val="00CC22E8"/>
    <w:rsid w:val="00CC2782"/>
    <w:rsid w:val="00CD5778"/>
    <w:rsid w:val="00CD5D2D"/>
    <w:rsid w:val="00CE10F9"/>
    <w:rsid w:val="00CE1E51"/>
    <w:rsid w:val="00CE3EE8"/>
    <w:rsid w:val="00CE4710"/>
    <w:rsid w:val="00CF2C1D"/>
    <w:rsid w:val="00CF2C25"/>
    <w:rsid w:val="00CF2D03"/>
    <w:rsid w:val="00CF6EA6"/>
    <w:rsid w:val="00D00737"/>
    <w:rsid w:val="00D03872"/>
    <w:rsid w:val="00D04CE0"/>
    <w:rsid w:val="00D06C4E"/>
    <w:rsid w:val="00D1270E"/>
    <w:rsid w:val="00D155C4"/>
    <w:rsid w:val="00D17568"/>
    <w:rsid w:val="00D2195C"/>
    <w:rsid w:val="00D22620"/>
    <w:rsid w:val="00D227CC"/>
    <w:rsid w:val="00D342E0"/>
    <w:rsid w:val="00D374A6"/>
    <w:rsid w:val="00D42057"/>
    <w:rsid w:val="00D46356"/>
    <w:rsid w:val="00D46C53"/>
    <w:rsid w:val="00D520CC"/>
    <w:rsid w:val="00D536FA"/>
    <w:rsid w:val="00D60F10"/>
    <w:rsid w:val="00D72702"/>
    <w:rsid w:val="00D80FB7"/>
    <w:rsid w:val="00D82F8E"/>
    <w:rsid w:val="00D86E37"/>
    <w:rsid w:val="00D93156"/>
    <w:rsid w:val="00D9660E"/>
    <w:rsid w:val="00DA23BF"/>
    <w:rsid w:val="00DA32E0"/>
    <w:rsid w:val="00DB42CA"/>
    <w:rsid w:val="00DB5C37"/>
    <w:rsid w:val="00DC5C14"/>
    <w:rsid w:val="00DC5D10"/>
    <w:rsid w:val="00DC6941"/>
    <w:rsid w:val="00DC73B7"/>
    <w:rsid w:val="00DD1EF1"/>
    <w:rsid w:val="00DD35E0"/>
    <w:rsid w:val="00DF0085"/>
    <w:rsid w:val="00DF0315"/>
    <w:rsid w:val="00DF0772"/>
    <w:rsid w:val="00DF0F09"/>
    <w:rsid w:val="00DF2340"/>
    <w:rsid w:val="00DF2F68"/>
    <w:rsid w:val="00E02EA6"/>
    <w:rsid w:val="00E143F4"/>
    <w:rsid w:val="00E14DA2"/>
    <w:rsid w:val="00E17AF7"/>
    <w:rsid w:val="00E21ED0"/>
    <w:rsid w:val="00E24B0D"/>
    <w:rsid w:val="00E26705"/>
    <w:rsid w:val="00E27F55"/>
    <w:rsid w:val="00E3049B"/>
    <w:rsid w:val="00E30AFE"/>
    <w:rsid w:val="00E32814"/>
    <w:rsid w:val="00E36B4A"/>
    <w:rsid w:val="00E41E2E"/>
    <w:rsid w:val="00E4447F"/>
    <w:rsid w:val="00E54A7D"/>
    <w:rsid w:val="00E560D7"/>
    <w:rsid w:val="00E666AB"/>
    <w:rsid w:val="00E80006"/>
    <w:rsid w:val="00E80E3D"/>
    <w:rsid w:val="00E84F92"/>
    <w:rsid w:val="00E852E3"/>
    <w:rsid w:val="00E86535"/>
    <w:rsid w:val="00E876C5"/>
    <w:rsid w:val="00E910C5"/>
    <w:rsid w:val="00E9260A"/>
    <w:rsid w:val="00E94543"/>
    <w:rsid w:val="00E96F3F"/>
    <w:rsid w:val="00EA2146"/>
    <w:rsid w:val="00EA7590"/>
    <w:rsid w:val="00EB12FB"/>
    <w:rsid w:val="00EC312F"/>
    <w:rsid w:val="00EC5D25"/>
    <w:rsid w:val="00EC65CA"/>
    <w:rsid w:val="00EE6B7A"/>
    <w:rsid w:val="00EE74BD"/>
    <w:rsid w:val="00F00158"/>
    <w:rsid w:val="00F0119D"/>
    <w:rsid w:val="00F016DE"/>
    <w:rsid w:val="00F048AF"/>
    <w:rsid w:val="00F04C32"/>
    <w:rsid w:val="00F1534D"/>
    <w:rsid w:val="00F2100A"/>
    <w:rsid w:val="00F26D91"/>
    <w:rsid w:val="00F26F34"/>
    <w:rsid w:val="00F36338"/>
    <w:rsid w:val="00F3789D"/>
    <w:rsid w:val="00F453D2"/>
    <w:rsid w:val="00F53024"/>
    <w:rsid w:val="00F615CF"/>
    <w:rsid w:val="00F63703"/>
    <w:rsid w:val="00F65F47"/>
    <w:rsid w:val="00F70D08"/>
    <w:rsid w:val="00F73EF6"/>
    <w:rsid w:val="00F73F89"/>
    <w:rsid w:val="00F80774"/>
    <w:rsid w:val="00F82384"/>
    <w:rsid w:val="00F8510B"/>
    <w:rsid w:val="00F85952"/>
    <w:rsid w:val="00F93A25"/>
    <w:rsid w:val="00FA4672"/>
    <w:rsid w:val="00FB12CC"/>
    <w:rsid w:val="00FC3B61"/>
    <w:rsid w:val="00FC44F2"/>
    <w:rsid w:val="00FC67B0"/>
    <w:rsid w:val="00FD0FE7"/>
    <w:rsid w:val="00FE159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674AD"/>
    <w:pPr>
      <w:keepNext/>
      <w:keepLines/>
      <w:numPr>
        <w:numId w:val="25"/>
      </w:numPr>
      <w:spacing w:before="480" w:after="100" w:afterAutospacing="1"/>
      <w:ind w:left="720" w:hanging="720"/>
      <w:contextualSpacing/>
      <w:jc w:val="both"/>
      <w:outlineLvl w:val="0"/>
    </w:pPr>
    <w:rPr>
      <w:rFonts w:eastAsiaTheme="majorEastAsia" w:cstheme="majorBidi"/>
      <w:b/>
      <w:bCs/>
      <w:sz w:val="28"/>
      <w:szCs w:val="28"/>
      <w:lang w:eastAsia="en-IE"/>
    </w:rPr>
  </w:style>
  <w:style w:type="paragraph" w:styleId="Heading2">
    <w:name w:val="heading 2"/>
    <w:basedOn w:val="Normal"/>
    <w:next w:val="Normal"/>
    <w:link w:val="Heading2Char"/>
    <w:uiPriority w:val="9"/>
    <w:unhideWhenUsed/>
    <w:qFormat/>
    <w:rsid w:val="00CE3EE8"/>
    <w:pPr>
      <w:keepNext/>
      <w:keepLines/>
      <w:spacing w:before="200" w:after="100" w:afterAutospacing="1"/>
      <w:outlineLvl w:val="1"/>
    </w:pPr>
    <w:rPr>
      <w:rFonts w:eastAsiaTheme="majorEastAsia" w:cstheme="majorBidi"/>
      <w:b/>
      <w:bCs/>
      <w:sz w:val="24"/>
      <w:szCs w:val="24"/>
      <w:lang w:eastAsia="en-IE"/>
    </w:rPr>
  </w:style>
  <w:style w:type="paragraph" w:styleId="Heading3">
    <w:name w:val="heading 3"/>
    <w:basedOn w:val="Normal"/>
    <w:next w:val="Normal"/>
    <w:link w:val="Heading3Char"/>
    <w:uiPriority w:val="9"/>
    <w:semiHidden/>
    <w:unhideWhenUsed/>
    <w:qFormat/>
    <w:rsid w:val="00576F8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372632"/>
    <w:pPr>
      <w:spacing w:after="0" w:line="240" w:lineRule="auto"/>
    </w:pPr>
    <w:rPr>
      <w:rFonts w:ascii="Calibri" w:hAnsi="Calibri" w:cs="Times New Roman"/>
      <w:sz w:val="20"/>
      <w:szCs w:val="20"/>
    </w:rPr>
  </w:style>
  <w:style w:type="character" w:customStyle="1" w:styleId="FootnoteTextChar">
    <w:name w:val="Footnote Text Char"/>
    <w:basedOn w:val="DefaultParagraphFont"/>
    <w:link w:val="FootnoteText"/>
    <w:uiPriority w:val="99"/>
    <w:rsid w:val="00372632"/>
    <w:rPr>
      <w:rFonts w:ascii="Calibri" w:hAnsi="Calibri" w:cs="Times New Roman"/>
      <w:sz w:val="20"/>
      <w:szCs w:val="20"/>
    </w:rPr>
  </w:style>
  <w:style w:type="character" w:styleId="FootnoteReference">
    <w:name w:val="footnote reference"/>
    <w:basedOn w:val="DefaultParagraphFont"/>
    <w:uiPriority w:val="99"/>
    <w:semiHidden/>
    <w:unhideWhenUsed/>
    <w:rsid w:val="00372632"/>
    <w:rPr>
      <w:vertAlign w:val="superscript"/>
    </w:rPr>
  </w:style>
  <w:style w:type="paragraph" w:styleId="BalloonText">
    <w:name w:val="Balloon Text"/>
    <w:basedOn w:val="Normal"/>
    <w:link w:val="BalloonTextChar"/>
    <w:uiPriority w:val="99"/>
    <w:semiHidden/>
    <w:unhideWhenUsed/>
    <w:rsid w:val="003726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2632"/>
    <w:rPr>
      <w:rFonts w:ascii="Tahoma" w:hAnsi="Tahoma" w:cs="Tahoma"/>
      <w:sz w:val="16"/>
      <w:szCs w:val="16"/>
    </w:rPr>
  </w:style>
  <w:style w:type="table" w:styleId="TableGrid">
    <w:name w:val="Table Grid"/>
    <w:basedOn w:val="TableNormal"/>
    <w:uiPriority w:val="59"/>
    <w:rsid w:val="007D17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D1777"/>
    <w:pPr>
      <w:ind w:left="720"/>
      <w:contextualSpacing/>
    </w:pPr>
  </w:style>
  <w:style w:type="paragraph" w:styleId="Footer">
    <w:name w:val="footer"/>
    <w:basedOn w:val="Normal"/>
    <w:link w:val="FooterChar"/>
    <w:uiPriority w:val="99"/>
    <w:unhideWhenUsed/>
    <w:rsid w:val="007D17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1777"/>
  </w:style>
  <w:style w:type="paragraph" w:styleId="TOC1">
    <w:name w:val="toc 1"/>
    <w:basedOn w:val="Normal"/>
    <w:next w:val="Normal"/>
    <w:autoRedefine/>
    <w:uiPriority w:val="39"/>
    <w:unhideWhenUsed/>
    <w:rsid w:val="00BB70F1"/>
    <w:pPr>
      <w:spacing w:before="120" w:after="0"/>
    </w:pPr>
    <w:rPr>
      <w:b/>
      <w:bCs/>
      <w:i/>
      <w:iCs/>
      <w:sz w:val="24"/>
      <w:szCs w:val="24"/>
    </w:rPr>
  </w:style>
  <w:style w:type="paragraph" w:styleId="TOC2">
    <w:name w:val="toc 2"/>
    <w:basedOn w:val="Normal"/>
    <w:next w:val="Normal"/>
    <w:autoRedefine/>
    <w:uiPriority w:val="39"/>
    <w:unhideWhenUsed/>
    <w:rsid w:val="00BB70F1"/>
    <w:pPr>
      <w:spacing w:before="120" w:after="0"/>
      <w:ind w:left="220"/>
    </w:pPr>
    <w:rPr>
      <w:b/>
      <w:bCs/>
    </w:rPr>
  </w:style>
  <w:style w:type="character" w:styleId="Hyperlink">
    <w:name w:val="Hyperlink"/>
    <w:basedOn w:val="DefaultParagraphFont"/>
    <w:uiPriority w:val="99"/>
    <w:unhideWhenUsed/>
    <w:rsid w:val="00BB70F1"/>
    <w:rPr>
      <w:color w:val="0000FF" w:themeColor="hyperlink"/>
      <w:u w:val="single"/>
    </w:rPr>
  </w:style>
  <w:style w:type="paragraph" w:customStyle="1" w:styleId="Default">
    <w:name w:val="Default"/>
    <w:rsid w:val="00B74480"/>
    <w:pPr>
      <w:autoSpaceDE w:val="0"/>
      <w:autoSpaceDN w:val="0"/>
      <w:adjustRightInd w:val="0"/>
      <w:spacing w:after="0" w:line="240" w:lineRule="auto"/>
    </w:pPr>
    <w:rPr>
      <w:rFonts w:ascii="Arial" w:hAnsi="Arial" w:cs="Arial"/>
      <w:color w:val="000000"/>
      <w:sz w:val="24"/>
      <w:szCs w:val="24"/>
    </w:rPr>
  </w:style>
  <w:style w:type="character" w:customStyle="1" w:styleId="apple-converted-space">
    <w:name w:val="apple-converted-space"/>
    <w:basedOn w:val="DefaultParagraphFont"/>
    <w:rsid w:val="00277347"/>
  </w:style>
  <w:style w:type="character" w:styleId="Emphasis">
    <w:name w:val="Emphasis"/>
    <w:basedOn w:val="DefaultParagraphFont"/>
    <w:uiPriority w:val="20"/>
    <w:qFormat/>
    <w:rsid w:val="00277347"/>
    <w:rPr>
      <w:i/>
      <w:iCs/>
    </w:rPr>
  </w:style>
  <w:style w:type="character" w:styleId="CommentReference">
    <w:name w:val="annotation reference"/>
    <w:basedOn w:val="DefaultParagraphFont"/>
    <w:uiPriority w:val="99"/>
    <w:semiHidden/>
    <w:unhideWhenUsed/>
    <w:rsid w:val="00E14DA2"/>
    <w:rPr>
      <w:sz w:val="16"/>
      <w:szCs w:val="16"/>
    </w:rPr>
  </w:style>
  <w:style w:type="paragraph" w:styleId="CommentText">
    <w:name w:val="annotation text"/>
    <w:basedOn w:val="Normal"/>
    <w:link w:val="CommentTextChar"/>
    <w:uiPriority w:val="99"/>
    <w:semiHidden/>
    <w:unhideWhenUsed/>
    <w:rsid w:val="00E14DA2"/>
    <w:pPr>
      <w:spacing w:line="240" w:lineRule="auto"/>
    </w:pPr>
    <w:rPr>
      <w:sz w:val="20"/>
      <w:szCs w:val="20"/>
    </w:rPr>
  </w:style>
  <w:style w:type="character" w:customStyle="1" w:styleId="CommentTextChar">
    <w:name w:val="Comment Text Char"/>
    <w:basedOn w:val="DefaultParagraphFont"/>
    <w:link w:val="CommentText"/>
    <w:uiPriority w:val="99"/>
    <w:semiHidden/>
    <w:rsid w:val="00E14DA2"/>
    <w:rPr>
      <w:sz w:val="20"/>
      <w:szCs w:val="20"/>
    </w:rPr>
  </w:style>
  <w:style w:type="paragraph" w:styleId="CommentSubject">
    <w:name w:val="annotation subject"/>
    <w:basedOn w:val="CommentText"/>
    <w:next w:val="CommentText"/>
    <w:link w:val="CommentSubjectChar"/>
    <w:uiPriority w:val="99"/>
    <w:semiHidden/>
    <w:unhideWhenUsed/>
    <w:rsid w:val="00E14DA2"/>
    <w:rPr>
      <w:b/>
      <w:bCs/>
    </w:rPr>
  </w:style>
  <w:style w:type="character" w:customStyle="1" w:styleId="CommentSubjectChar">
    <w:name w:val="Comment Subject Char"/>
    <w:basedOn w:val="CommentTextChar"/>
    <w:link w:val="CommentSubject"/>
    <w:uiPriority w:val="99"/>
    <w:semiHidden/>
    <w:rsid w:val="00E14DA2"/>
    <w:rPr>
      <w:b/>
      <w:bCs/>
      <w:sz w:val="20"/>
      <w:szCs w:val="20"/>
    </w:rPr>
  </w:style>
  <w:style w:type="character" w:customStyle="1" w:styleId="Heading2Char">
    <w:name w:val="Heading 2 Char"/>
    <w:basedOn w:val="DefaultParagraphFont"/>
    <w:link w:val="Heading2"/>
    <w:uiPriority w:val="9"/>
    <w:rsid w:val="00CE3EE8"/>
    <w:rPr>
      <w:rFonts w:eastAsiaTheme="majorEastAsia" w:cstheme="majorBidi"/>
      <w:b/>
      <w:bCs/>
      <w:sz w:val="24"/>
      <w:szCs w:val="24"/>
      <w:lang w:eastAsia="en-IE"/>
    </w:rPr>
  </w:style>
  <w:style w:type="character" w:customStyle="1" w:styleId="Heading1Char">
    <w:name w:val="Heading 1 Char"/>
    <w:basedOn w:val="DefaultParagraphFont"/>
    <w:link w:val="Heading1"/>
    <w:uiPriority w:val="9"/>
    <w:rsid w:val="008674AD"/>
    <w:rPr>
      <w:rFonts w:eastAsiaTheme="majorEastAsia" w:cstheme="majorBidi"/>
      <w:b/>
      <w:bCs/>
      <w:sz w:val="28"/>
      <w:szCs w:val="28"/>
      <w:lang w:eastAsia="en-IE"/>
    </w:rPr>
  </w:style>
  <w:style w:type="paragraph" w:styleId="TOC3">
    <w:name w:val="toc 3"/>
    <w:basedOn w:val="Normal"/>
    <w:next w:val="Normal"/>
    <w:autoRedefine/>
    <w:uiPriority w:val="39"/>
    <w:unhideWhenUsed/>
    <w:rsid w:val="0011086B"/>
    <w:pPr>
      <w:spacing w:after="0"/>
      <w:ind w:left="440"/>
    </w:pPr>
    <w:rPr>
      <w:sz w:val="20"/>
      <w:szCs w:val="20"/>
    </w:rPr>
  </w:style>
  <w:style w:type="paragraph" w:styleId="TOC4">
    <w:name w:val="toc 4"/>
    <w:basedOn w:val="Normal"/>
    <w:next w:val="Normal"/>
    <w:autoRedefine/>
    <w:uiPriority w:val="39"/>
    <w:unhideWhenUsed/>
    <w:rsid w:val="0011086B"/>
    <w:pPr>
      <w:spacing w:after="0"/>
      <w:ind w:left="660"/>
    </w:pPr>
    <w:rPr>
      <w:sz w:val="20"/>
      <w:szCs w:val="20"/>
    </w:rPr>
  </w:style>
  <w:style w:type="paragraph" w:styleId="TOC5">
    <w:name w:val="toc 5"/>
    <w:basedOn w:val="Normal"/>
    <w:next w:val="Normal"/>
    <w:autoRedefine/>
    <w:uiPriority w:val="39"/>
    <w:unhideWhenUsed/>
    <w:rsid w:val="0011086B"/>
    <w:pPr>
      <w:spacing w:after="0"/>
      <w:ind w:left="880"/>
    </w:pPr>
    <w:rPr>
      <w:sz w:val="20"/>
      <w:szCs w:val="20"/>
    </w:rPr>
  </w:style>
  <w:style w:type="paragraph" w:styleId="TOC6">
    <w:name w:val="toc 6"/>
    <w:basedOn w:val="Normal"/>
    <w:next w:val="Normal"/>
    <w:autoRedefine/>
    <w:uiPriority w:val="39"/>
    <w:unhideWhenUsed/>
    <w:rsid w:val="0011086B"/>
    <w:pPr>
      <w:spacing w:after="0"/>
      <w:ind w:left="1100"/>
    </w:pPr>
    <w:rPr>
      <w:sz w:val="20"/>
      <w:szCs w:val="20"/>
    </w:rPr>
  </w:style>
  <w:style w:type="paragraph" w:styleId="TOC7">
    <w:name w:val="toc 7"/>
    <w:basedOn w:val="Normal"/>
    <w:next w:val="Normal"/>
    <w:autoRedefine/>
    <w:uiPriority w:val="39"/>
    <w:unhideWhenUsed/>
    <w:rsid w:val="0011086B"/>
    <w:pPr>
      <w:spacing w:after="0"/>
      <w:ind w:left="1320"/>
    </w:pPr>
    <w:rPr>
      <w:sz w:val="20"/>
      <w:szCs w:val="20"/>
    </w:rPr>
  </w:style>
  <w:style w:type="paragraph" w:styleId="TOC8">
    <w:name w:val="toc 8"/>
    <w:basedOn w:val="Normal"/>
    <w:next w:val="Normal"/>
    <w:autoRedefine/>
    <w:uiPriority w:val="39"/>
    <w:unhideWhenUsed/>
    <w:rsid w:val="0011086B"/>
    <w:pPr>
      <w:spacing w:after="0"/>
      <w:ind w:left="1540"/>
    </w:pPr>
    <w:rPr>
      <w:sz w:val="20"/>
      <w:szCs w:val="20"/>
    </w:rPr>
  </w:style>
  <w:style w:type="paragraph" w:styleId="TOC9">
    <w:name w:val="toc 9"/>
    <w:basedOn w:val="Normal"/>
    <w:next w:val="Normal"/>
    <w:autoRedefine/>
    <w:uiPriority w:val="39"/>
    <w:unhideWhenUsed/>
    <w:rsid w:val="0011086B"/>
    <w:pPr>
      <w:spacing w:after="0"/>
      <w:ind w:left="1760"/>
    </w:pPr>
    <w:rPr>
      <w:sz w:val="20"/>
      <w:szCs w:val="20"/>
    </w:rPr>
  </w:style>
  <w:style w:type="paragraph" w:styleId="Header">
    <w:name w:val="header"/>
    <w:basedOn w:val="Normal"/>
    <w:link w:val="HeaderChar"/>
    <w:uiPriority w:val="99"/>
    <w:unhideWhenUsed/>
    <w:rsid w:val="003E77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775A"/>
  </w:style>
  <w:style w:type="character" w:customStyle="1" w:styleId="Heading3Char">
    <w:name w:val="Heading 3 Char"/>
    <w:basedOn w:val="DefaultParagraphFont"/>
    <w:link w:val="Heading3"/>
    <w:uiPriority w:val="9"/>
    <w:semiHidden/>
    <w:rsid w:val="00576F81"/>
    <w:rPr>
      <w:rFonts w:asciiTheme="majorHAnsi" w:eastAsiaTheme="majorEastAsia" w:hAnsiTheme="majorHAnsi" w:cstheme="majorBidi"/>
      <w:b/>
      <w:bCs/>
      <w:color w:val="4F81BD" w:themeColor="accent1"/>
    </w:rPr>
  </w:style>
  <w:style w:type="paragraph" w:customStyle="1" w:styleId="EYBodytextwithparaspace">
    <w:name w:val="EY Body text (with para space)"/>
    <w:basedOn w:val="Normal"/>
    <w:link w:val="EYBodytextwithparaspaceChar"/>
    <w:qFormat/>
    <w:rsid w:val="00BD2351"/>
    <w:pPr>
      <w:numPr>
        <w:ilvl w:val="4"/>
        <w:numId w:val="36"/>
      </w:numPr>
      <w:spacing w:after="240" w:line="240" w:lineRule="auto"/>
    </w:pPr>
    <w:rPr>
      <w:rFonts w:ascii="EYInterstate Light" w:eastAsia="Times New Roman" w:hAnsi="EYInterstate Light" w:cs="Times New Roman"/>
      <w:kern w:val="12"/>
      <w:sz w:val="20"/>
      <w:szCs w:val="24"/>
      <w:lang w:val="en-US"/>
    </w:rPr>
  </w:style>
  <w:style w:type="character" w:customStyle="1" w:styleId="EYBodytextwithparaspaceChar">
    <w:name w:val="EY Body text (with para space) Char"/>
    <w:basedOn w:val="DefaultParagraphFont"/>
    <w:link w:val="EYBodytextwithparaspace"/>
    <w:rsid w:val="00BD2351"/>
    <w:rPr>
      <w:rFonts w:ascii="EYInterstate Light" w:eastAsia="Times New Roman" w:hAnsi="EYInterstate Light" w:cs="Times New Roman"/>
      <w:kern w:val="12"/>
      <w:sz w:val="20"/>
      <w:szCs w:val="24"/>
      <w:lang w:val="en-US"/>
    </w:rPr>
  </w:style>
  <w:style w:type="paragraph" w:styleId="NoSpacing">
    <w:name w:val="No Spacing"/>
    <w:uiPriority w:val="1"/>
    <w:qFormat/>
    <w:rsid w:val="001022F2"/>
    <w:pPr>
      <w:spacing w:after="0" w:line="240" w:lineRule="auto"/>
    </w:pPr>
  </w:style>
  <w:style w:type="paragraph" w:customStyle="1" w:styleId="story-bodyintroduction1">
    <w:name w:val="story-body__introduction1"/>
    <w:basedOn w:val="Normal"/>
    <w:rsid w:val="001161DA"/>
    <w:pPr>
      <w:spacing w:before="360" w:after="100" w:afterAutospacing="1" w:line="240" w:lineRule="auto"/>
    </w:pPr>
    <w:rPr>
      <w:rFonts w:ascii="Times New Roman" w:hAnsi="Times New Roman" w:cs="Times New Roman"/>
      <w:b/>
      <w:bCs/>
      <w:color w:val="404040"/>
      <w:sz w:val="24"/>
      <w:szCs w:val="24"/>
      <w:lang w:eastAsia="en-IE"/>
    </w:rPr>
  </w:style>
  <w:style w:type="paragraph" w:styleId="NormalWeb">
    <w:name w:val="Normal (Web)"/>
    <w:basedOn w:val="Normal"/>
    <w:uiPriority w:val="99"/>
    <w:unhideWhenUsed/>
    <w:rsid w:val="00E143F4"/>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674AD"/>
    <w:pPr>
      <w:keepNext/>
      <w:keepLines/>
      <w:numPr>
        <w:numId w:val="25"/>
      </w:numPr>
      <w:spacing w:before="480" w:after="100" w:afterAutospacing="1"/>
      <w:ind w:left="720" w:hanging="720"/>
      <w:contextualSpacing/>
      <w:jc w:val="both"/>
      <w:outlineLvl w:val="0"/>
    </w:pPr>
    <w:rPr>
      <w:rFonts w:eastAsiaTheme="majorEastAsia" w:cstheme="majorBidi"/>
      <w:b/>
      <w:bCs/>
      <w:sz w:val="28"/>
      <w:szCs w:val="28"/>
      <w:lang w:eastAsia="en-IE"/>
    </w:rPr>
  </w:style>
  <w:style w:type="paragraph" w:styleId="Heading2">
    <w:name w:val="heading 2"/>
    <w:basedOn w:val="Normal"/>
    <w:next w:val="Normal"/>
    <w:link w:val="Heading2Char"/>
    <w:uiPriority w:val="9"/>
    <w:unhideWhenUsed/>
    <w:qFormat/>
    <w:rsid w:val="00CE3EE8"/>
    <w:pPr>
      <w:keepNext/>
      <w:keepLines/>
      <w:spacing w:before="200" w:after="100" w:afterAutospacing="1"/>
      <w:outlineLvl w:val="1"/>
    </w:pPr>
    <w:rPr>
      <w:rFonts w:eastAsiaTheme="majorEastAsia" w:cstheme="majorBidi"/>
      <w:b/>
      <w:bCs/>
      <w:sz w:val="24"/>
      <w:szCs w:val="24"/>
      <w:lang w:eastAsia="en-IE"/>
    </w:rPr>
  </w:style>
  <w:style w:type="paragraph" w:styleId="Heading3">
    <w:name w:val="heading 3"/>
    <w:basedOn w:val="Normal"/>
    <w:next w:val="Normal"/>
    <w:link w:val="Heading3Char"/>
    <w:uiPriority w:val="9"/>
    <w:semiHidden/>
    <w:unhideWhenUsed/>
    <w:qFormat/>
    <w:rsid w:val="00576F8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372632"/>
    <w:pPr>
      <w:spacing w:after="0" w:line="240" w:lineRule="auto"/>
    </w:pPr>
    <w:rPr>
      <w:rFonts w:ascii="Calibri" w:hAnsi="Calibri" w:cs="Times New Roman"/>
      <w:sz w:val="20"/>
      <w:szCs w:val="20"/>
    </w:rPr>
  </w:style>
  <w:style w:type="character" w:customStyle="1" w:styleId="FootnoteTextChar">
    <w:name w:val="Footnote Text Char"/>
    <w:basedOn w:val="DefaultParagraphFont"/>
    <w:link w:val="FootnoteText"/>
    <w:uiPriority w:val="99"/>
    <w:rsid w:val="00372632"/>
    <w:rPr>
      <w:rFonts w:ascii="Calibri" w:hAnsi="Calibri" w:cs="Times New Roman"/>
      <w:sz w:val="20"/>
      <w:szCs w:val="20"/>
    </w:rPr>
  </w:style>
  <w:style w:type="character" w:styleId="FootnoteReference">
    <w:name w:val="footnote reference"/>
    <w:basedOn w:val="DefaultParagraphFont"/>
    <w:uiPriority w:val="99"/>
    <w:semiHidden/>
    <w:unhideWhenUsed/>
    <w:rsid w:val="00372632"/>
    <w:rPr>
      <w:vertAlign w:val="superscript"/>
    </w:rPr>
  </w:style>
  <w:style w:type="paragraph" w:styleId="BalloonText">
    <w:name w:val="Balloon Text"/>
    <w:basedOn w:val="Normal"/>
    <w:link w:val="BalloonTextChar"/>
    <w:uiPriority w:val="99"/>
    <w:semiHidden/>
    <w:unhideWhenUsed/>
    <w:rsid w:val="003726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2632"/>
    <w:rPr>
      <w:rFonts w:ascii="Tahoma" w:hAnsi="Tahoma" w:cs="Tahoma"/>
      <w:sz w:val="16"/>
      <w:szCs w:val="16"/>
    </w:rPr>
  </w:style>
  <w:style w:type="table" w:styleId="TableGrid">
    <w:name w:val="Table Grid"/>
    <w:basedOn w:val="TableNormal"/>
    <w:uiPriority w:val="59"/>
    <w:rsid w:val="007D17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D1777"/>
    <w:pPr>
      <w:ind w:left="720"/>
      <w:contextualSpacing/>
    </w:pPr>
  </w:style>
  <w:style w:type="paragraph" w:styleId="Footer">
    <w:name w:val="footer"/>
    <w:basedOn w:val="Normal"/>
    <w:link w:val="FooterChar"/>
    <w:uiPriority w:val="99"/>
    <w:unhideWhenUsed/>
    <w:rsid w:val="007D17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1777"/>
  </w:style>
  <w:style w:type="paragraph" w:styleId="TOC1">
    <w:name w:val="toc 1"/>
    <w:basedOn w:val="Normal"/>
    <w:next w:val="Normal"/>
    <w:autoRedefine/>
    <w:uiPriority w:val="39"/>
    <w:unhideWhenUsed/>
    <w:rsid w:val="00BB70F1"/>
    <w:pPr>
      <w:spacing w:before="120" w:after="0"/>
    </w:pPr>
    <w:rPr>
      <w:b/>
      <w:bCs/>
      <w:i/>
      <w:iCs/>
      <w:sz w:val="24"/>
      <w:szCs w:val="24"/>
    </w:rPr>
  </w:style>
  <w:style w:type="paragraph" w:styleId="TOC2">
    <w:name w:val="toc 2"/>
    <w:basedOn w:val="Normal"/>
    <w:next w:val="Normal"/>
    <w:autoRedefine/>
    <w:uiPriority w:val="39"/>
    <w:unhideWhenUsed/>
    <w:rsid w:val="00BB70F1"/>
    <w:pPr>
      <w:spacing w:before="120" w:after="0"/>
      <w:ind w:left="220"/>
    </w:pPr>
    <w:rPr>
      <w:b/>
      <w:bCs/>
    </w:rPr>
  </w:style>
  <w:style w:type="character" w:styleId="Hyperlink">
    <w:name w:val="Hyperlink"/>
    <w:basedOn w:val="DefaultParagraphFont"/>
    <w:uiPriority w:val="99"/>
    <w:unhideWhenUsed/>
    <w:rsid w:val="00BB70F1"/>
    <w:rPr>
      <w:color w:val="0000FF" w:themeColor="hyperlink"/>
      <w:u w:val="single"/>
    </w:rPr>
  </w:style>
  <w:style w:type="paragraph" w:customStyle="1" w:styleId="Default">
    <w:name w:val="Default"/>
    <w:rsid w:val="00B74480"/>
    <w:pPr>
      <w:autoSpaceDE w:val="0"/>
      <w:autoSpaceDN w:val="0"/>
      <w:adjustRightInd w:val="0"/>
      <w:spacing w:after="0" w:line="240" w:lineRule="auto"/>
    </w:pPr>
    <w:rPr>
      <w:rFonts w:ascii="Arial" w:hAnsi="Arial" w:cs="Arial"/>
      <w:color w:val="000000"/>
      <w:sz w:val="24"/>
      <w:szCs w:val="24"/>
    </w:rPr>
  </w:style>
  <w:style w:type="character" w:customStyle="1" w:styleId="apple-converted-space">
    <w:name w:val="apple-converted-space"/>
    <w:basedOn w:val="DefaultParagraphFont"/>
    <w:rsid w:val="00277347"/>
  </w:style>
  <w:style w:type="character" w:styleId="Emphasis">
    <w:name w:val="Emphasis"/>
    <w:basedOn w:val="DefaultParagraphFont"/>
    <w:uiPriority w:val="20"/>
    <w:qFormat/>
    <w:rsid w:val="00277347"/>
    <w:rPr>
      <w:i/>
      <w:iCs/>
    </w:rPr>
  </w:style>
  <w:style w:type="character" w:styleId="CommentReference">
    <w:name w:val="annotation reference"/>
    <w:basedOn w:val="DefaultParagraphFont"/>
    <w:uiPriority w:val="99"/>
    <w:semiHidden/>
    <w:unhideWhenUsed/>
    <w:rsid w:val="00E14DA2"/>
    <w:rPr>
      <w:sz w:val="16"/>
      <w:szCs w:val="16"/>
    </w:rPr>
  </w:style>
  <w:style w:type="paragraph" w:styleId="CommentText">
    <w:name w:val="annotation text"/>
    <w:basedOn w:val="Normal"/>
    <w:link w:val="CommentTextChar"/>
    <w:uiPriority w:val="99"/>
    <w:semiHidden/>
    <w:unhideWhenUsed/>
    <w:rsid w:val="00E14DA2"/>
    <w:pPr>
      <w:spacing w:line="240" w:lineRule="auto"/>
    </w:pPr>
    <w:rPr>
      <w:sz w:val="20"/>
      <w:szCs w:val="20"/>
    </w:rPr>
  </w:style>
  <w:style w:type="character" w:customStyle="1" w:styleId="CommentTextChar">
    <w:name w:val="Comment Text Char"/>
    <w:basedOn w:val="DefaultParagraphFont"/>
    <w:link w:val="CommentText"/>
    <w:uiPriority w:val="99"/>
    <w:semiHidden/>
    <w:rsid w:val="00E14DA2"/>
    <w:rPr>
      <w:sz w:val="20"/>
      <w:szCs w:val="20"/>
    </w:rPr>
  </w:style>
  <w:style w:type="paragraph" w:styleId="CommentSubject">
    <w:name w:val="annotation subject"/>
    <w:basedOn w:val="CommentText"/>
    <w:next w:val="CommentText"/>
    <w:link w:val="CommentSubjectChar"/>
    <w:uiPriority w:val="99"/>
    <w:semiHidden/>
    <w:unhideWhenUsed/>
    <w:rsid w:val="00E14DA2"/>
    <w:rPr>
      <w:b/>
      <w:bCs/>
    </w:rPr>
  </w:style>
  <w:style w:type="character" w:customStyle="1" w:styleId="CommentSubjectChar">
    <w:name w:val="Comment Subject Char"/>
    <w:basedOn w:val="CommentTextChar"/>
    <w:link w:val="CommentSubject"/>
    <w:uiPriority w:val="99"/>
    <w:semiHidden/>
    <w:rsid w:val="00E14DA2"/>
    <w:rPr>
      <w:b/>
      <w:bCs/>
      <w:sz w:val="20"/>
      <w:szCs w:val="20"/>
    </w:rPr>
  </w:style>
  <w:style w:type="character" w:customStyle="1" w:styleId="Heading2Char">
    <w:name w:val="Heading 2 Char"/>
    <w:basedOn w:val="DefaultParagraphFont"/>
    <w:link w:val="Heading2"/>
    <w:uiPriority w:val="9"/>
    <w:rsid w:val="00CE3EE8"/>
    <w:rPr>
      <w:rFonts w:eastAsiaTheme="majorEastAsia" w:cstheme="majorBidi"/>
      <w:b/>
      <w:bCs/>
      <w:sz w:val="24"/>
      <w:szCs w:val="24"/>
      <w:lang w:eastAsia="en-IE"/>
    </w:rPr>
  </w:style>
  <w:style w:type="character" w:customStyle="1" w:styleId="Heading1Char">
    <w:name w:val="Heading 1 Char"/>
    <w:basedOn w:val="DefaultParagraphFont"/>
    <w:link w:val="Heading1"/>
    <w:uiPriority w:val="9"/>
    <w:rsid w:val="008674AD"/>
    <w:rPr>
      <w:rFonts w:eastAsiaTheme="majorEastAsia" w:cstheme="majorBidi"/>
      <w:b/>
      <w:bCs/>
      <w:sz w:val="28"/>
      <w:szCs w:val="28"/>
      <w:lang w:eastAsia="en-IE"/>
    </w:rPr>
  </w:style>
  <w:style w:type="paragraph" w:styleId="TOC3">
    <w:name w:val="toc 3"/>
    <w:basedOn w:val="Normal"/>
    <w:next w:val="Normal"/>
    <w:autoRedefine/>
    <w:uiPriority w:val="39"/>
    <w:unhideWhenUsed/>
    <w:rsid w:val="0011086B"/>
    <w:pPr>
      <w:spacing w:after="0"/>
      <w:ind w:left="440"/>
    </w:pPr>
    <w:rPr>
      <w:sz w:val="20"/>
      <w:szCs w:val="20"/>
    </w:rPr>
  </w:style>
  <w:style w:type="paragraph" w:styleId="TOC4">
    <w:name w:val="toc 4"/>
    <w:basedOn w:val="Normal"/>
    <w:next w:val="Normal"/>
    <w:autoRedefine/>
    <w:uiPriority w:val="39"/>
    <w:unhideWhenUsed/>
    <w:rsid w:val="0011086B"/>
    <w:pPr>
      <w:spacing w:after="0"/>
      <w:ind w:left="660"/>
    </w:pPr>
    <w:rPr>
      <w:sz w:val="20"/>
      <w:szCs w:val="20"/>
    </w:rPr>
  </w:style>
  <w:style w:type="paragraph" w:styleId="TOC5">
    <w:name w:val="toc 5"/>
    <w:basedOn w:val="Normal"/>
    <w:next w:val="Normal"/>
    <w:autoRedefine/>
    <w:uiPriority w:val="39"/>
    <w:unhideWhenUsed/>
    <w:rsid w:val="0011086B"/>
    <w:pPr>
      <w:spacing w:after="0"/>
      <w:ind w:left="880"/>
    </w:pPr>
    <w:rPr>
      <w:sz w:val="20"/>
      <w:szCs w:val="20"/>
    </w:rPr>
  </w:style>
  <w:style w:type="paragraph" w:styleId="TOC6">
    <w:name w:val="toc 6"/>
    <w:basedOn w:val="Normal"/>
    <w:next w:val="Normal"/>
    <w:autoRedefine/>
    <w:uiPriority w:val="39"/>
    <w:unhideWhenUsed/>
    <w:rsid w:val="0011086B"/>
    <w:pPr>
      <w:spacing w:after="0"/>
      <w:ind w:left="1100"/>
    </w:pPr>
    <w:rPr>
      <w:sz w:val="20"/>
      <w:szCs w:val="20"/>
    </w:rPr>
  </w:style>
  <w:style w:type="paragraph" w:styleId="TOC7">
    <w:name w:val="toc 7"/>
    <w:basedOn w:val="Normal"/>
    <w:next w:val="Normal"/>
    <w:autoRedefine/>
    <w:uiPriority w:val="39"/>
    <w:unhideWhenUsed/>
    <w:rsid w:val="0011086B"/>
    <w:pPr>
      <w:spacing w:after="0"/>
      <w:ind w:left="1320"/>
    </w:pPr>
    <w:rPr>
      <w:sz w:val="20"/>
      <w:szCs w:val="20"/>
    </w:rPr>
  </w:style>
  <w:style w:type="paragraph" w:styleId="TOC8">
    <w:name w:val="toc 8"/>
    <w:basedOn w:val="Normal"/>
    <w:next w:val="Normal"/>
    <w:autoRedefine/>
    <w:uiPriority w:val="39"/>
    <w:unhideWhenUsed/>
    <w:rsid w:val="0011086B"/>
    <w:pPr>
      <w:spacing w:after="0"/>
      <w:ind w:left="1540"/>
    </w:pPr>
    <w:rPr>
      <w:sz w:val="20"/>
      <w:szCs w:val="20"/>
    </w:rPr>
  </w:style>
  <w:style w:type="paragraph" w:styleId="TOC9">
    <w:name w:val="toc 9"/>
    <w:basedOn w:val="Normal"/>
    <w:next w:val="Normal"/>
    <w:autoRedefine/>
    <w:uiPriority w:val="39"/>
    <w:unhideWhenUsed/>
    <w:rsid w:val="0011086B"/>
    <w:pPr>
      <w:spacing w:after="0"/>
      <w:ind w:left="1760"/>
    </w:pPr>
    <w:rPr>
      <w:sz w:val="20"/>
      <w:szCs w:val="20"/>
    </w:rPr>
  </w:style>
  <w:style w:type="paragraph" w:styleId="Header">
    <w:name w:val="header"/>
    <w:basedOn w:val="Normal"/>
    <w:link w:val="HeaderChar"/>
    <w:uiPriority w:val="99"/>
    <w:unhideWhenUsed/>
    <w:rsid w:val="003E77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775A"/>
  </w:style>
  <w:style w:type="character" w:customStyle="1" w:styleId="Heading3Char">
    <w:name w:val="Heading 3 Char"/>
    <w:basedOn w:val="DefaultParagraphFont"/>
    <w:link w:val="Heading3"/>
    <w:uiPriority w:val="9"/>
    <w:semiHidden/>
    <w:rsid w:val="00576F81"/>
    <w:rPr>
      <w:rFonts w:asciiTheme="majorHAnsi" w:eastAsiaTheme="majorEastAsia" w:hAnsiTheme="majorHAnsi" w:cstheme="majorBidi"/>
      <w:b/>
      <w:bCs/>
      <w:color w:val="4F81BD" w:themeColor="accent1"/>
    </w:rPr>
  </w:style>
  <w:style w:type="paragraph" w:customStyle="1" w:styleId="EYBodytextwithparaspace">
    <w:name w:val="EY Body text (with para space)"/>
    <w:basedOn w:val="Normal"/>
    <w:link w:val="EYBodytextwithparaspaceChar"/>
    <w:qFormat/>
    <w:rsid w:val="00BD2351"/>
    <w:pPr>
      <w:numPr>
        <w:ilvl w:val="4"/>
        <w:numId w:val="36"/>
      </w:numPr>
      <w:spacing w:after="240" w:line="240" w:lineRule="auto"/>
    </w:pPr>
    <w:rPr>
      <w:rFonts w:ascii="EYInterstate Light" w:eastAsia="Times New Roman" w:hAnsi="EYInterstate Light" w:cs="Times New Roman"/>
      <w:kern w:val="12"/>
      <w:sz w:val="20"/>
      <w:szCs w:val="24"/>
      <w:lang w:val="en-US"/>
    </w:rPr>
  </w:style>
  <w:style w:type="character" w:customStyle="1" w:styleId="EYBodytextwithparaspaceChar">
    <w:name w:val="EY Body text (with para space) Char"/>
    <w:basedOn w:val="DefaultParagraphFont"/>
    <w:link w:val="EYBodytextwithparaspace"/>
    <w:rsid w:val="00BD2351"/>
    <w:rPr>
      <w:rFonts w:ascii="EYInterstate Light" w:eastAsia="Times New Roman" w:hAnsi="EYInterstate Light" w:cs="Times New Roman"/>
      <w:kern w:val="12"/>
      <w:sz w:val="20"/>
      <w:szCs w:val="24"/>
      <w:lang w:val="en-US"/>
    </w:rPr>
  </w:style>
  <w:style w:type="paragraph" w:styleId="NoSpacing">
    <w:name w:val="No Spacing"/>
    <w:uiPriority w:val="1"/>
    <w:qFormat/>
    <w:rsid w:val="001022F2"/>
    <w:pPr>
      <w:spacing w:after="0" w:line="240" w:lineRule="auto"/>
    </w:pPr>
  </w:style>
  <w:style w:type="paragraph" w:customStyle="1" w:styleId="story-bodyintroduction1">
    <w:name w:val="story-body__introduction1"/>
    <w:basedOn w:val="Normal"/>
    <w:rsid w:val="001161DA"/>
    <w:pPr>
      <w:spacing w:before="360" w:after="100" w:afterAutospacing="1" w:line="240" w:lineRule="auto"/>
    </w:pPr>
    <w:rPr>
      <w:rFonts w:ascii="Times New Roman" w:hAnsi="Times New Roman" w:cs="Times New Roman"/>
      <w:b/>
      <w:bCs/>
      <w:color w:val="404040"/>
      <w:sz w:val="24"/>
      <w:szCs w:val="24"/>
      <w:lang w:eastAsia="en-IE"/>
    </w:rPr>
  </w:style>
  <w:style w:type="paragraph" w:styleId="NormalWeb">
    <w:name w:val="Normal (Web)"/>
    <w:basedOn w:val="Normal"/>
    <w:uiPriority w:val="99"/>
    <w:unhideWhenUsed/>
    <w:rsid w:val="00E143F4"/>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503636">
      <w:bodyDiv w:val="1"/>
      <w:marLeft w:val="0"/>
      <w:marRight w:val="0"/>
      <w:marTop w:val="0"/>
      <w:marBottom w:val="0"/>
      <w:divBdr>
        <w:top w:val="none" w:sz="0" w:space="0" w:color="auto"/>
        <w:left w:val="none" w:sz="0" w:space="0" w:color="auto"/>
        <w:bottom w:val="none" w:sz="0" w:space="0" w:color="auto"/>
        <w:right w:val="none" w:sz="0" w:space="0" w:color="auto"/>
      </w:divBdr>
    </w:div>
    <w:div w:id="164246946">
      <w:bodyDiv w:val="1"/>
      <w:marLeft w:val="0"/>
      <w:marRight w:val="0"/>
      <w:marTop w:val="0"/>
      <w:marBottom w:val="0"/>
      <w:divBdr>
        <w:top w:val="none" w:sz="0" w:space="0" w:color="auto"/>
        <w:left w:val="none" w:sz="0" w:space="0" w:color="auto"/>
        <w:bottom w:val="none" w:sz="0" w:space="0" w:color="auto"/>
        <w:right w:val="none" w:sz="0" w:space="0" w:color="auto"/>
      </w:divBdr>
    </w:div>
    <w:div w:id="394744291">
      <w:bodyDiv w:val="1"/>
      <w:marLeft w:val="0"/>
      <w:marRight w:val="0"/>
      <w:marTop w:val="0"/>
      <w:marBottom w:val="0"/>
      <w:divBdr>
        <w:top w:val="none" w:sz="0" w:space="0" w:color="auto"/>
        <w:left w:val="none" w:sz="0" w:space="0" w:color="auto"/>
        <w:bottom w:val="none" w:sz="0" w:space="0" w:color="auto"/>
        <w:right w:val="none" w:sz="0" w:space="0" w:color="auto"/>
      </w:divBdr>
    </w:div>
    <w:div w:id="400718251">
      <w:bodyDiv w:val="1"/>
      <w:marLeft w:val="0"/>
      <w:marRight w:val="0"/>
      <w:marTop w:val="0"/>
      <w:marBottom w:val="0"/>
      <w:divBdr>
        <w:top w:val="none" w:sz="0" w:space="0" w:color="auto"/>
        <w:left w:val="none" w:sz="0" w:space="0" w:color="auto"/>
        <w:bottom w:val="none" w:sz="0" w:space="0" w:color="auto"/>
        <w:right w:val="none" w:sz="0" w:space="0" w:color="auto"/>
      </w:divBdr>
    </w:div>
    <w:div w:id="434709126">
      <w:bodyDiv w:val="1"/>
      <w:marLeft w:val="0"/>
      <w:marRight w:val="0"/>
      <w:marTop w:val="0"/>
      <w:marBottom w:val="0"/>
      <w:divBdr>
        <w:top w:val="none" w:sz="0" w:space="0" w:color="auto"/>
        <w:left w:val="none" w:sz="0" w:space="0" w:color="auto"/>
        <w:bottom w:val="none" w:sz="0" w:space="0" w:color="auto"/>
        <w:right w:val="none" w:sz="0" w:space="0" w:color="auto"/>
      </w:divBdr>
    </w:div>
    <w:div w:id="870653494">
      <w:bodyDiv w:val="1"/>
      <w:marLeft w:val="0"/>
      <w:marRight w:val="0"/>
      <w:marTop w:val="0"/>
      <w:marBottom w:val="0"/>
      <w:divBdr>
        <w:top w:val="none" w:sz="0" w:space="0" w:color="auto"/>
        <w:left w:val="none" w:sz="0" w:space="0" w:color="auto"/>
        <w:bottom w:val="none" w:sz="0" w:space="0" w:color="auto"/>
        <w:right w:val="none" w:sz="0" w:space="0" w:color="auto"/>
      </w:divBdr>
    </w:div>
    <w:div w:id="927226299">
      <w:bodyDiv w:val="1"/>
      <w:marLeft w:val="0"/>
      <w:marRight w:val="0"/>
      <w:marTop w:val="0"/>
      <w:marBottom w:val="0"/>
      <w:divBdr>
        <w:top w:val="none" w:sz="0" w:space="0" w:color="auto"/>
        <w:left w:val="none" w:sz="0" w:space="0" w:color="auto"/>
        <w:bottom w:val="none" w:sz="0" w:space="0" w:color="auto"/>
        <w:right w:val="none" w:sz="0" w:space="0" w:color="auto"/>
      </w:divBdr>
    </w:div>
    <w:div w:id="1008403774">
      <w:bodyDiv w:val="1"/>
      <w:marLeft w:val="0"/>
      <w:marRight w:val="0"/>
      <w:marTop w:val="0"/>
      <w:marBottom w:val="0"/>
      <w:divBdr>
        <w:top w:val="none" w:sz="0" w:space="0" w:color="auto"/>
        <w:left w:val="none" w:sz="0" w:space="0" w:color="auto"/>
        <w:bottom w:val="none" w:sz="0" w:space="0" w:color="auto"/>
        <w:right w:val="none" w:sz="0" w:space="0" w:color="auto"/>
      </w:divBdr>
    </w:div>
    <w:div w:id="1022438339">
      <w:bodyDiv w:val="1"/>
      <w:marLeft w:val="0"/>
      <w:marRight w:val="0"/>
      <w:marTop w:val="0"/>
      <w:marBottom w:val="0"/>
      <w:divBdr>
        <w:top w:val="none" w:sz="0" w:space="0" w:color="auto"/>
        <w:left w:val="none" w:sz="0" w:space="0" w:color="auto"/>
        <w:bottom w:val="none" w:sz="0" w:space="0" w:color="auto"/>
        <w:right w:val="none" w:sz="0" w:space="0" w:color="auto"/>
      </w:divBdr>
    </w:div>
    <w:div w:id="1042437505">
      <w:bodyDiv w:val="1"/>
      <w:marLeft w:val="0"/>
      <w:marRight w:val="0"/>
      <w:marTop w:val="0"/>
      <w:marBottom w:val="0"/>
      <w:divBdr>
        <w:top w:val="none" w:sz="0" w:space="0" w:color="auto"/>
        <w:left w:val="none" w:sz="0" w:space="0" w:color="auto"/>
        <w:bottom w:val="none" w:sz="0" w:space="0" w:color="auto"/>
        <w:right w:val="none" w:sz="0" w:space="0" w:color="auto"/>
      </w:divBdr>
    </w:div>
    <w:div w:id="1200897243">
      <w:bodyDiv w:val="1"/>
      <w:marLeft w:val="0"/>
      <w:marRight w:val="0"/>
      <w:marTop w:val="0"/>
      <w:marBottom w:val="0"/>
      <w:divBdr>
        <w:top w:val="none" w:sz="0" w:space="0" w:color="auto"/>
        <w:left w:val="none" w:sz="0" w:space="0" w:color="auto"/>
        <w:bottom w:val="none" w:sz="0" w:space="0" w:color="auto"/>
        <w:right w:val="none" w:sz="0" w:space="0" w:color="auto"/>
      </w:divBdr>
    </w:div>
    <w:div w:id="1444954545">
      <w:bodyDiv w:val="1"/>
      <w:marLeft w:val="0"/>
      <w:marRight w:val="0"/>
      <w:marTop w:val="0"/>
      <w:marBottom w:val="0"/>
      <w:divBdr>
        <w:top w:val="none" w:sz="0" w:space="0" w:color="auto"/>
        <w:left w:val="none" w:sz="0" w:space="0" w:color="auto"/>
        <w:bottom w:val="none" w:sz="0" w:space="0" w:color="auto"/>
        <w:right w:val="none" w:sz="0" w:space="0" w:color="auto"/>
      </w:divBdr>
    </w:div>
    <w:div w:id="1810702834">
      <w:bodyDiv w:val="1"/>
      <w:marLeft w:val="0"/>
      <w:marRight w:val="0"/>
      <w:marTop w:val="0"/>
      <w:marBottom w:val="0"/>
      <w:divBdr>
        <w:top w:val="none" w:sz="0" w:space="0" w:color="auto"/>
        <w:left w:val="none" w:sz="0" w:space="0" w:color="auto"/>
        <w:bottom w:val="none" w:sz="0" w:space="0" w:color="auto"/>
        <w:right w:val="none" w:sz="0" w:space="0" w:color="auto"/>
      </w:divBdr>
    </w:div>
    <w:div w:id="1843742480">
      <w:bodyDiv w:val="1"/>
      <w:marLeft w:val="0"/>
      <w:marRight w:val="0"/>
      <w:marTop w:val="0"/>
      <w:marBottom w:val="0"/>
      <w:divBdr>
        <w:top w:val="none" w:sz="0" w:space="0" w:color="auto"/>
        <w:left w:val="none" w:sz="0" w:space="0" w:color="auto"/>
        <w:bottom w:val="none" w:sz="0" w:space="0" w:color="auto"/>
        <w:right w:val="none" w:sz="0" w:space="0" w:color="auto"/>
      </w:divBdr>
    </w:div>
    <w:div w:id="1845825025">
      <w:bodyDiv w:val="1"/>
      <w:marLeft w:val="0"/>
      <w:marRight w:val="0"/>
      <w:marTop w:val="0"/>
      <w:marBottom w:val="0"/>
      <w:divBdr>
        <w:top w:val="none" w:sz="0" w:space="0" w:color="auto"/>
        <w:left w:val="none" w:sz="0" w:space="0" w:color="auto"/>
        <w:bottom w:val="none" w:sz="0" w:space="0" w:color="auto"/>
        <w:right w:val="none" w:sz="0" w:space="0" w:color="auto"/>
      </w:divBdr>
    </w:div>
    <w:div w:id="1973904188">
      <w:bodyDiv w:val="1"/>
      <w:marLeft w:val="0"/>
      <w:marRight w:val="0"/>
      <w:marTop w:val="0"/>
      <w:marBottom w:val="0"/>
      <w:divBdr>
        <w:top w:val="none" w:sz="0" w:space="0" w:color="auto"/>
        <w:left w:val="none" w:sz="0" w:space="0" w:color="auto"/>
        <w:bottom w:val="none" w:sz="0" w:space="0" w:color="auto"/>
        <w:right w:val="none" w:sz="0" w:space="0" w:color="auto"/>
      </w:divBdr>
    </w:div>
    <w:div w:id="2031490670">
      <w:bodyDiv w:val="1"/>
      <w:marLeft w:val="0"/>
      <w:marRight w:val="0"/>
      <w:marTop w:val="0"/>
      <w:marBottom w:val="0"/>
      <w:divBdr>
        <w:top w:val="none" w:sz="0" w:space="0" w:color="auto"/>
        <w:left w:val="none" w:sz="0" w:space="0" w:color="auto"/>
        <w:bottom w:val="none" w:sz="0" w:space="0" w:color="auto"/>
        <w:right w:val="none" w:sz="0" w:space="0" w:color="auto"/>
      </w:divBdr>
      <w:divsChild>
        <w:div w:id="56437894">
          <w:marLeft w:val="547"/>
          <w:marRight w:val="0"/>
          <w:marTop w:val="0"/>
          <w:marBottom w:val="0"/>
          <w:divBdr>
            <w:top w:val="none" w:sz="0" w:space="0" w:color="auto"/>
            <w:left w:val="none" w:sz="0" w:space="0" w:color="auto"/>
            <w:bottom w:val="none" w:sz="0" w:space="0" w:color="auto"/>
            <w:right w:val="none" w:sz="0" w:space="0" w:color="auto"/>
          </w:divBdr>
        </w:div>
        <w:div w:id="1111247519">
          <w:marLeft w:val="547"/>
          <w:marRight w:val="0"/>
          <w:marTop w:val="0"/>
          <w:marBottom w:val="0"/>
          <w:divBdr>
            <w:top w:val="none" w:sz="0" w:space="0" w:color="auto"/>
            <w:left w:val="none" w:sz="0" w:space="0" w:color="auto"/>
            <w:bottom w:val="none" w:sz="0" w:space="0" w:color="auto"/>
            <w:right w:val="none" w:sz="0" w:space="0" w:color="auto"/>
          </w:divBdr>
        </w:div>
        <w:div w:id="725178394">
          <w:marLeft w:val="547"/>
          <w:marRight w:val="0"/>
          <w:marTop w:val="0"/>
          <w:marBottom w:val="0"/>
          <w:divBdr>
            <w:top w:val="none" w:sz="0" w:space="0" w:color="auto"/>
            <w:left w:val="none" w:sz="0" w:space="0" w:color="auto"/>
            <w:bottom w:val="none" w:sz="0" w:space="0" w:color="auto"/>
            <w:right w:val="none" w:sz="0" w:space="0" w:color="auto"/>
          </w:divBdr>
        </w:div>
        <w:div w:id="478881037">
          <w:marLeft w:val="547"/>
          <w:marRight w:val="0"/>
          <w:marTop w:val="0"/>
          <w:marBottom w:val="0"/>
          <w:divBdr>
            <w:top w:val="none" w:sz="0" w:space="0" w:color="auto"/>
            <w:left w:val="none" w:sz="0" w:space="0" w:color="auto"/>
            <w:bottom w:val="none" w:sz="0" w:space="0" w:color="auto"/>
            <w:right w:val="none" w:sz="0" w:space="0" w:color="auto"/>
          </w:divBdr>
        </w:div>
      </w:divsChild>
    </w:div>
    <w:div w:id="2062434760">
      <w:bodyDiv w:val="1"/>
      <w:marLeft w:val="0"/>
      <w:marRight w:val="0"/>
      <w:marTop w:val="0"/>
      <w:marBottom w:val="0"/>
      <w:divBdr>
        <w:top w:val="none" w:sz="0" w:space="0" w:color="auto"/>
        <w:left w:val="none" w:sz="0" w:space="0" w:color="auto"/>
        <w:bottom w:val="none" w:sz="0" w:space="0" w:color="auto"/>
        <w:right w:val="none" w:sz="0" w:space="0" w:color="auto"/>
      </w:divBdr>
    </w:div>
    <w:div w:id="2134663755">
      <w:bodyDiv w:val="1"/>
      <w:marLeft w:val="0"/>
      <w:marRight w:val="0"/>
      <w:marTop w:val="0"/>
      <w:marBottom w:val="0"/>
      <w:divBdr>
        <w:top w:val="none" w:sz="0" w:space="0" w:color="auto"/>
        <w:left w:val="none" w:sz="0" w:space="0" w:color="auto"/>
        <w:bottom w:val="none" w:sz="0" w:space="0" w:color="auto"/>
        <w:right w:val="none" w:sz="0" w:space="0" w:color="auto"/>
      </w:divBdr>
    </w:div>
    <w:div w:id="2142573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mailto:railconsultation@nationaltransport.i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nationaltransport.ie" TargetMode="Externa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oleObject" Target="file:///C:\TempCache\Content.Outlook\ZBIQ35K2\Funding%20Breakdown.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I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IE"/>
              <a:t>Rail Funding in 2015 in</a:t>
            </a:r>
            <a:r>
              <a:rPr lang="en-IE" baseline="0"/>
              <a:t> </a:t>
            </a:r>
            <a:r>
              <a:rPr lang="en-IE"/>
              <a:t>€</a:t>
            </a:r>
            <a:r>
              <a:rPr lang="en-IE" baseline="0"/>
              <a:t>m</a:t>
            </a:r>
            <a:endParaRPr lang="en-IE"/>
          </a:p>
        </c:rich>
      </c:tx>
      <c:overlay val="0"/>
    </c:title>
    <c:autoTitleDeleted val="0"/>
    <c:plotArea>
      <c:layout/>
      <c:pieChart>
        <c:varyColors val="1"/>
        <c:ser>
          <c:idx val="0"/>
          <c:order val="0"/>
          <c:dLbls>
            <c:txPr>
              <a:bodyPr/>
              <a:lstStyle/>
              <a:p>
                <a:pPr>
                  <a:defRPr>
                    <a:solidFill>
                      <a:schemeClr val="bg1"/>
                    </a:solidFill>
                  </a:defRPr>
                </a:pPr>
                <a:endParaRPr lang="en-US"/>
              </a:p>
            </c:txPr>
            <c:dLblPos val="inEnd"/>
            <c:showLegendKey val="0"/>
            <c:showVal val="1"/>
            <c:showCatName val="0"/>
            <c:showSerName val="0"/>
            <c:showPercent val="0"/>
            <c:showBubbleSize val="0"/>
            <c:showLeaderLines val="1"/>
          </c:dLbls>
          <c:cat>
            <c:strRef>
              <c:f>Sheet1!$A$4:$A$9</c:f>
              <c:strCache>
                <c:ptCount val="6"/>
                <c:pt idx="0">
                  <c:v>Fare Revenue</c:v>
                </c:pt>
                <c:pt idx="1">
                  <c:v>Commercial Activities</c:v>
                </c:pt>
                <c:pt idx="2">
                  <c:v>State PSO Subvention</c:v>
                </c:pt>
                <c:pt idx="3">
                  <c:v>State Capital Funding</c:v>
                </c:pt>
                <c:pt idx="4">
                  <c:v>State Free Travel Scheme</c:v>
                </c:pt>
                <c:pt idx="5">
                  <c:v>Loss</c:v>
                </c:pt>
              </c:strCache>
            </c:strRef>
          </c:cat>
          <c:val>
            <c:numRef>
              <c:f>Sheet1!$B$4:$B$9</c:f>
              <c:numCache>
                <c:formatCode>General</c:formatCode>
                <c:ptCount val="6"/>
                <c:pt idx="0">
                  <c:v>181</c:v>
                </c:pt>
                <c:pt idx="1">
                  <c:v>38</c:v>
                </c:pt>
                <c:pt idx="2">
                  <c:v>98</c:v>
                </c:pt>
                <c:pt idx="3">
                  <c:v>210</c:v>
                </c:pt>
                <c:pt idx="4">
                  <c:v>15</c:v>
                </c:pt>
                <c:pt idx="5">
                  <c:v>8</c:v>
                </c:pt>
              </c:numCache>
            </c:numRef>
          </c:val>
        </c:ser>
        <c:dLbls>
          <c:dLblPos val="inEnd"/>
          <c:showLegendKey val="0"/>
          <c:showVal val="1"/>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4CCD4C-A3FA-4154-93E7-B0CB1B75CC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4742</Words>
  <Characters>27034</Characters>
  <Application>Microsoft Office Word</Application>
  <DocSecurity>4</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Department of Transport</Company>
  <LinksUpToDate>false</LinksUpToDate>
  <CharactersWithSpaces>31713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Galbraith1</dc:creator>
  <cp:lastModifiedBy>Emily O’Reilly</cp:lastModifiedBy>
  <cp:revision>2</cp:revision>
  <cp:lastPrinted>2016-11-08T12:00:00Z</cp:lastPrinted>
  <dcterms:created xsi:type="dcterms:W3CDTF">2016-11-11T16:14:00Z</dcterms:created>
  <dcterms:modified xsi:type="dcterms:W3CDTF">2016-11-11T16:14:00Z</dcterms:modified>
</cp:coreProperties>
</file>