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7EEB"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0F28DD82"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20DE7122" wp14:editId="10A6EE56">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2DC6796D"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22D2317"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8A7F0B1" w14:textId="77777777" w:rsidR="00140DC9" w:rsidRPr="00DC4826" w:rsidRDefault="00140DC9" w:rsidP="00E6233C">
      <w:pPr>
        <w:spacing w:line="360" w:lineRule="auto"/>
        <w:ind w:right="-32"/>
        <w:rPr>
          <w:rFonts w:ascii="Calibri" w:hAnsi="Calibri"/>
          <w:color w:val="000000" w:themeColor="text1"/>
          <w:sz w:val="22"/>
          <w:lang w:val="en-IE"/>
        </w:rPr>
      </w:pPr>
    </w:p>
    <w:p w14:paraId="2DC966C8"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2278CE24"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0F88F97F"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14D83C61"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46911467"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46C891FA"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37D6AFFA"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17950681"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3BA14AAA" w14:textId="480F212E" w:rsidR="00C00473" w:rsidRDefault="00D37C95" w:rsidP="00D25125">
            <w:pPr>
              <w:spacing w:line="360" w:lineRule="auto"/>
              <w:ind w:right="-32"/>
              <w:jc w:val="center"/>
              <w:rPr>
                <w:rFonts w:ascii="Calibri" w:hAnsi="Calibri"/>
                <w:b/>
                <w:spacing w:val="-2"/>
                <w:sz w:val="36"/>
                <w:szCs w:val="36"/>
              </w:rPr>
            </w:pPr>
            <w:r>
              <w:rPr>
                <w:rFonts w:ascii="Calibri" w:hAnsi="Calibri"/>
                <w:b/>
                <w:spacing w:val="-2"/>
                <w:sz w:val="36"/>
                <w:szCs w:val="36"/>
              </w:rPr>
              <w:t>Senior Public Transport Regulation Analyst</w:t>
            </w:r>
          </w:p>
          <w:p w14:paraId="42C9AA36" w14:textId="0778CB97" w:rsidR="00140DC9" w:rsidRPr="00D25125" w:rsidRDefault="00140DC9" w:rsidP="00D25125">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D93BD6C"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4229D832"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5A57CFDA"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75CDC84A"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7289C6E0"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2A9F734A"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4216B7B9" w14:textId="4E73B37F" w:rsidR="004025F2" w:rsidRPr="004F4230"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4F4230">
        <w:rPr>
          <w:rFonts w:ascii="Calibri" w:hAnsi="Calibri" w:cs="Arial"/>
          <w:b/>
          <w:smallCaps/>
          <w:color w:val="000000" w:themeColor="text1"/>
          <w:lang w:val="en-IE"/>
        </w:rPr>
        <w:t xml:space="preserve">Contact: </w:t>
      </w:r>
      <w:r w:rsidR="007733DC" w:rsidRPr="004F4230">
        <w:rPr>
          <w:rFonts w:asciiTheme="minorHAnsi" w:hAnsiTheme="minorHAnsi" w:cstheme="minorHAnsi"/>
          <w:b/>
          <w:smallCaps/>
        </w:rPr>
        <w:t>ntacareers@rsmireland.ie</w:t>
      </w:r>
      <w:r w:rsidR="007733DC" w:rsidRPr="004F4230">
        <w:rPr>
          <w:rFonts w:ascii="Calibri" w:hAnsi="Calibri" w:cs="Arial"/>
          <w:b/>
          <w:smallCaps/>
          <w:color w:val="000000" w:themeColor="text1"/>
          <w:lang w:val="en-IE"/>
        </w:rPr>
        <w:t xml:space="preserve">  </w:t>
      </w:r>
    </w:p>
    <w:p w14:paraId="7C9305E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2F556221"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79A25A49"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646E9B9A"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0254512B" w14:textId="10A28131" w:rsidR="00140DC9" w:rsidRDefault="004F4230"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00D25125" w:rsidRPr="001047EE">
          <w:rPr>
            <w:rStyle w:val="Hyperlink"/>
            <w:rFonts w:ascii="Calibri" w:hAnsi="Calibri" w:cs="Arial"/>
            <w:smallCaps/>
            <w:sz w:val="19"/>
            <w:lang w:eastAsia="en-GB"/>
          </w:rPr>
          <w:t>www.nationaltransport.ie</w:t>
        </w:r>
      </w:hyperlink>
    </w:p>
    <w:p w14:paraId="34266C2F" w14:textId="77777777" w:rsidR="00D25125" w:rsidRPr="00DC4826" w:rsidRDefault="00D25125"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shd w:val="clear" w:color="auto" w:fill="7030A0"/>
        <w:tblLayout w:type="fixed"/>
        <w:tblLook w:val="0000" w:firstRow="0" w:lastRow="0" w:firstColumn="0" w:lastColumn="0" w:noHBand="0" w:noVBand="0"/>
      </w:tblPr>
      <w:tblGrid>
        <w:gridCol w:w="9508"/>
      </w:tblGrid>
      <w:tr w:rsidR="00DC4826" w:rsidRPr="00DC4826" w14:paraId="380FC1AF" w14:textId="77777777" w:rsidTr="006E145A">
        <w:trPr>
          <w:trHeight w:val="807"/>
          <w:jc w:val="center"/>
        </w:trPr>
        <w:tc>
          <w:tcPr>
            <w:tcW w:w="9508" w:type="dxa"/>
            <w:shd w:val="clear" w:color="auto" w:fill="7030A0"/>
            <w:vAlign w:val="center"/>
          </w:tcPr>
          <w:p w14:paraId="77BA9983" w14:textId="534F3239" w:rsidR="006665E8" w:rsidRPr="009B5953" w:rsidRDefault="00D642E1" w:rsidP="009B5953">
            <w:pPr>
              <w:shd w:val="clear" w:color="auto" w:fill="7030A0"/>
              <w:spacing w:line="360" w:lineRule="auto"/>
              <w:ind w:right="-32"/>
              <w:jc w:val="center"/>
              <w:rPr>
                <w:rFonts w:ascii="Calibri" w:hAnsi="Calibri"/>
                <w:b/>
                <w:color w:val="FFFFFF" w:themeColor="background1"/>
                <w:spacing w:val="-2"/>
                <w:sz w:val="36"/>
                <w:szCs w:val="36"/>
              </w:rPr>
            </w:pPr>
            <w:r>
              <w:rPr>
                <w:rFonts w:ascii="Calibri" w:hAnsi="Calibri"/>
                <w:b/>
                <w:smallCaps/>
                <w:color w:val="000000" w:themeColor="text1"/>
                <w:sz w:val="16"/>
                <w:szCs w:val="16"/>
                <w:u w:val="single"/>
                <w:lang w:val="en-IE"/>
              </w:rPr>
              <w:lastRenderedPageBreak/>
              <w:br w:type="page"/>
            </w:r>
            <w:r w:rsidR="00A07F78" w:rsidRPr="009B5953">
              <w:rPr>
                <w:rFonts w:ascii="Calibri" w:hAnsi="Calibri"/>
                <w:b/>
                <w:i/>
                <w:caps/>
                <w:color w:val="FFFFFF" w:themeColor="background1"/>
                <w:sz w:val="28"/>
                <w:szCs w:val="24"/>
              </w:rPr>
              <w:t xml:space="preserve">Senior Public Transport Regulation Analyst </w:t>
            </w:r>
          </w:p>
          <w:p w14:paraId="4CA02DF4" w14:textId="77777777" w:rsidR="00140DC9" w:rsidRPr="00DC4826" w:rsidRDefault="00140DC9" w:rsidP="009B5953">
            <w:pPr>
              <w:shd w:val="clear" w:color="auto" w:fill="7030A0"/>
              <w:tabs>
                <w:tab w:val="left" w:pos="-720"/>
              </w:tabs>
              <w:suppressAutoHyphens/>
              <w:spacing w:line="360" w:lineRule="auto"/>
              <w:ind w:right="-32"/>
              <w:jc w:val="center"/>
              <w:rPr>
                <w:rFonts w:ascii="Calibri" w:hAnsi="Calibri"/>
                <w:b/>
                <w:color w:val="000000" w:themeColor="text1"/>
                <w:spacing w:val="-2"/>
              </w:rPr>
            </w:pPr>
            <w:r w:rsidRPr="009B5953">
              <w:rPr>
                <w:rFonts w:ascii="Calibri" w:hAnsi="Calibri"/>
                <w:b/>
                <w:color w:val="FFFFFF" w:themeColor="background1"/>
                <w:spacing w:val="-2"/>
                <w:sz w:val="22"/>
              </w:rPr>
              <w:t xml:space="preserve">National Transport Authority </w:t>
            </w:r>
          </w:p>
        </w:tc>
      </w:tr>
    </w:tbl>
    <w:p w14:paraId="4F861A75"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66B1EA12" w14:textId="23738058"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A07F78" w:rsidRPr="00A07F78">
        <w:rPr>
          <w:rFonts w:ascii="Calibri" w:hAnsi="Calibri" w:cs="Arial"/>
          <w:color w:val="000000" w:themeColor="text1"/>
          <w:sz w:val="22"/>
          <w:szCs w:val="22"/>
        </w:rPr>
        <w:t>Senior Public Transport Regulation Analyst</w:t>
      </w:r>
    </w:p>
    <w:p w14:paraId="526DA023" w14:textId="68A517DA"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E26F58">
        <w:rPr>
          <w:rFonts w:ascii="Calibri" w:hAnsi="Calibri" w:cs="Arial"/>
          <w:bCs/>
          <w:color w:val="000000" w:themeColor="text1"/>
          <w:sz w:val="22"/>
          <w:szCs w:val="22"/>
        </w:rPr>
        <w:t>Public Transport Regulation Manager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52A53242" w14:textId="77777777"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7D260B8C"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795F558"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0EF1F1A3"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72CFA452"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22DFE124"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1CCE598"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2C909E9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432093F8"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53D979C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59214AE3"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6D42DBE0" w14:textId="2806D244"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B07AEA">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38FA126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6CA15807" w14:textId="0A3759F2"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7733DC" w:rsidRPr="0036398D">
          <w:rPr>
            <w:rStyle w:val="Hyperlink"/>
            <w:rFonts w:asciiTheme="minorHAnsi" w:hAnsiTheme="minorHAnsi"/>
            <w:sz w:val="22"/>
            <w:szCs w:val="22"/>
            <w:lang w:val="en-IE"/>
          </w:rPr>
          <w:t>www.nationaltransport.ie</w:t>
        </w:r>
      </w:hyperlink>
      <w:r w:rsidR="007733DC">
        <w:rPr>
          <w:rFonts w:asciiTheme="minorHAnsi" w:hAnsiTheme="minorHAnsi"/>
          <w:b/>
          <w:sz w:val="22"/>
          <w:szCs w:val="22"/>
          <w:lang w:val="en-IE" w:eastAsia="en-US"/>
        </w:rPr>
        <w:t>.</w:t>
      </w:r>
    </w:p>
    <w:p w14:paraId="04BAF77D" w14:textId="77777777"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3B51C1A" w14:textId="28BEF9CA"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E26F58" w:rsidRPr="00A07F78">
        <w:rPr>
          <w:rFonts w:ascii="Calibri" w:hAnsi="Calibri" w:cs="Arial"/>
          <w:color w:val="000000" w:themeColor="text1"/>
          <w:sz w:val="22"/>
          <w:szCs w:val="22"/>
        </w:rPr>
        <w:t>Senior Public Transport Regulation Analyst</w:t>
      </w:r>
      <w:r w:rsidRPr="00E26F58">
        <w:rPr>
          <w:rFonts w:asciiTheme="minorHAnsi" w:hAnsiTheme="minorHAnsi" w:cstheme="minorHAnsi"/>
          <w:sz w:val="22"/>
          <w:szCs w:val="22"/>
          <w:lang w:val="en-IE" w:eastAsia="en-US"/>
        </w:rPr>
        <w:t>.</w:t>
      </w:r>
    </w:p>
    <w:p w14:paraId="2603D2EF"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7BBFEB38" w14:textId="77777777" w:rsidR="00446481" w:rsidRPr="00E26F58" w:rsidRDefault="004D5DF5" w:rsidP="00E26F58">
      <w:pPr>
        <w:spacing w:line="360" w:lineRule="auto"/>
        <w:ind w:right="-32"/>
        <w:jc w:val="both"/>
        <w:rPr>
          <w:rFonts w:ascii="Calibri" w:hAnsi="Calibri" w:cs="Arial"/>
          <w:b/>
          <w:i/>
          <w:color w:val="000000" w:themeColor="text1"/>
          <w:sz w:val="22"/>
          <w:szCs w:val="22"/>
          <w:u w:val="single"/>
          <w:lang w:val="en-IE"/>
        </w:rPr>
      </w:pPr>
      <w:r w:rsidRPr="00E26F58">
        <w:rPr>
          <w:rFonts w:ascii="Calibri" w:hAnsi="Calibri" w:cs="Arial"/>
          <w:b/>
          <w:i/>
          <w:color w:val="000000" w:themeColor="text1"/>
          <w:sz w:val="22"/>
          <w:szCs w:val="22"/>
          <w:u w:val="single"/>
          <w:lang w:val="en-IE"/>
        </w:rPr>
        <w:t>DUTIES AND RESPONSIBILITIES</w:t>
      </w:r>
      <w:r w:rsidR="007469D5" w:rsidRPr="00E26F58">
        <w:rPr>
          <w:rFonts w:ascii="Calibri" w:hAnsi="Calibri" w:cs="Arial"/>
          <w:b/>
          <w:i/>
          <w:color w:val="000000" w:themeColor="text1"/>
          <w:sz w:val="22"/>
          <w:szCs w:val="22"/>
          <w:u w:val="single"/>
          <w:lang w:val="en-IE"/>
        </w:rPr>
        <w:t>:</w:t>
      </w:r>
    </w:p>
    <w:p w14:paraId="584B209A"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The National Transport Authority licenses public bus passenger services throughout the State. These licensed services are often called "commercial" bus services because they are operated without any public subsidy from the Authority. Many of the services, however, receive Free Travel payments from the Department of Social Protection in compensation for the revenue foregone from carrying those entitled to Free Travel.</w:t>
      </w:r>
    </w:p>
    <w:p w14:paraId="552EA3BD"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p>
    <w:p w14:paraId="794C7ACC"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Licensed services include regular scheduled services, event or venue specific services, temporary services, demand responsive services and specific targeted services (such as tours, social club events, etc.) In 2020 there were 207 operators with licences to provide bus services within the State. The Authority also issues Authorisations for international services.</w:t>
      </w:r>
    </w:p>
    <w:p w14:paraId="060FEEF5"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p>
    <w:p w14:paraId="2C4ED072"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There is a large variability in the scale and type of services provided by operators. They include large scale inter-city and interurban services that provide connections to and from the country's main towns, cities and airports; commuter services that bring passengers to employment and education; urban and suburban services; as well as rural services that generally link small towns, villages and rural areas. Each service is individually licensed.</w:t>
      </w:r>
    </w:p>
    <w:p w14:paraId="669F7C07"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p>
    <w:p w14:paraId="4FF7EB4E" w14:textId="77777777" w:rsidR="00E26F58" w:rsidRDefault="00E26F58" w:rsidP="00E26F58">
      <w:pPr>
        <w:pStyle w:val="BodyText"/>
        <w:kinsoku w:val="0"/>
        <w:overflowPunct w:val="0"/>
        <w:spacing w:line="360" w:lineRule="auto"/>
        <w:ind w:right="-32"/>
        <w:jc w:val="both"/>
        <w:rPr>
          <w:rFonts w:asciiTheme="minorHAnsi" w:eastAsia="Calibri" w:hAnsiTheme="minorHAnsi"/>
          <w:b/>
          <w:iCs/>
          <w:color w:val="000000" w:themeColor="text1"/>
          <w:sz w:val="22"/>
          <w:szCs w:val="22"/>
          <w:lang w:val="en-IE"/>
        </w:rPr>
      </w:pPr>
      <w:r w:rsidRPr="00E26F58">
        <w:rPr>
          <w:rFonts w:asciiTheme="minorHAnsi" w:hAnsiTheme="minorHAnsi" w:cstheme="minorHAnsi"/>
          <w:sz w:val="22"/>
          <w:szCs w:val="22"/>
          <w:lang w:val="en-IE" w:eastAsia="en-US"/>
        </w:rPr>
        <w:t>The regulatory model requires that demand is assessed and services are licensed to ensure optimal public transport options for the public while maintaining competition for the market. The interaction between licensed services and state subsidised services is a complex one. While the optimisation of the commercial sector is vital; the impacts on the wide range of subsidised services also need to be evaluated.</w:t>
      </w:r>
    </w:p>
    <w:p w14:paraId="3E107B7C" w14:textId="77777777" w:rsidR="00E26F58" w:rsidRDefault="00E26F58" w:rsidP="00E26F58">
      <w:pPr>
        <w:pStyle w:val="BodyText"/>
        <w:kinsoku w:val="0"/>
        <w:overflowPunct w:val="0"/>
        <w:spacing w:line="360" w:lineRule="auto"/>
        <w:ind w:right="-32"/>
        <w:jc w:val="both"/>
        <w:rPr>
          <w:rFonts w:asciiTheme="minorHAnsi" w:eastAsia="Calibri" w:hAnsiTheme="minorHAnsi"/>
          <w:b/>
          <w:iCs/>
          <w:color w:val="000000" w:themeColor="text1"/>
          <w:sz w:val="22"/>
          <w:szCs w:val="22"/>
          <w:lang w:val="en-IE"/>
        </w:rPr>
      </w:pPr>
    </w:p>
    <w:p w14:paraId="4CBE4757" w14:textId="77777777" w:rsidR="00E26F58" w:rsidRDefault="00E26F58">
      <w:pPr>
        <w:rPr>
          <w:rFonts w:asciiTheme="minorHAnsi" w:eastAsia="Calibri" w:hAnsiTheme="minorHAnsi"/>
          <w:b/>
          <w:iCs/>
          <w:color w:val="000000" w:themeColor="text1"/>
          <w:sz w:val="22"/>
          <w:szCs w:val="22"/>
          <w:lang w:val="en-IE"/>
        </w:rPr>
      </w:pPr>
      <w:r>
        <w:rPr>
          <w:rFonts w:asciiTheme="minorHAnsi" w:eastAsia="Calibri" w:hAnsiTheme="minorHAnsi"/>
          <w:b/>
          <w:iCs/>
          <w:color w:val="000000" w:themeColor="text1"/>
          <w:sz w:val="22"/>
          <w:szCs w:val="22"/>
          <w:lang w:val="en-IE"/>
        </w:rPr>
        <w:br w:type="page"/>
      </w:r>
    </w:p>
    <w:p w14:paraId="185A2CE6" w14:textId="195E2BAD"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r w:rsidRPr="00AD3E7E">
        <w:rPr>
          <w:rFonts w:asciiTheme="minorHAnsi" w:eastAsia="Calibri" w:hAnsiTheme="minorHAnsi"/>
          <w:b/>
          <w:iCs/>
          <w:color w:val="000000" w:themeColor="text1"/>
          <w:sz w:val="22"/>
          <w:szCs w:val="22"/>
          <w:lang w:val="en-IE"/>
        </w:rPr>
        <w:lastRenderedPageBreak/>
        <w:t>Role Overview:</w:t>
      </w:r>
    </w:p>
    <w:p w14:paraId="56794334" w14:textId="77777777" w:rsidR="00E26F58" w:rsidRPr="00E26F58" w:rsidRDefault="00E26F58" w:rsidP="00E26F58">
      <w:pPr>
        <w:pStyle w:val="BodyText"/>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 xml:space="preserve">The duties of the role include, </w:t>
      </w:r>
      <w:r w:rsidRPr="00AA4FB6">
        <w:rPr>
          <w:rFonts w:asciiTheme="minorHAnsi" w:hAnsiTheme="minorHAnsi" w:cstheme="minorHAnsi"/>
          <w:i/>
          <w:iCs/>
          <w:sz w:val="22"/>
          <w:szCs w:val="22"/>
          <w:lang w:val="en-IE" w:eastAsia="en-US"/>
        </w:rPr>
        <w:t>inter alia</w:t>
      </w:r>
      <w:r w:rsidRPr="00E26F58">
        <w:rPr>
          <w:rFonts w:asciiTheme="minorHAnsi" w:hAnsiTheme="minorHAnsi" w:cstheme="minorHAnsi"/>
          <w:sz w:val="22"/>
          <w:szCs w:val="22"/>
          <w:lang w:val="en-IE" w:eastAsia="en-US"/>
        </w:rPr>
        <w:t>, making decisions on applications submitted to the Authority by commercial operators to provide public bus passengers services, inputting into statutory reviews, and supporting the work of the other departments within the Directorate and the Authority, as required. The Public Transport Analyst will report directly to the Public Transport Regulation Manager.</w:t>
      </w:r>
    </w:p>
    <w:p w14:paraId="0513FEF5" w14:textId="77777777" w:rsidR="00E26F58" w:rsidRPr="00AD3E7E" w:rsidRDefault="00E26F58" w:rsidP="00E26F58">
      <w:pPr>
        <w:spacing w:line="276" w:lineRule="auto"/>
        <w:rPr>
          <w:rFonts w:asciiTheme="minorHAnsi" w:eastAsia="Calibri" w:hAnsiTheme="minorHAnsi"/>
          <w:iCs/>
          <w:color w:val="000000" w:themeColor="text1"/>
          <w:sz w:val="22"/>
          <w:szCs w:val="22"/>
          <w:lang w:val="en-IE"/>
        </w:rPr>
      </w:pPr>
    </w:p>
    <w:p w14:paraId="6B28A10B" w14:textId="77777777" w:rsidR="00E26F58" w:rsidRPr="00AD3E7E" w:rsidRDefault="00E26F58" w:rsidP="00E26F58">
      <w:pPr>
        <w:spacing w:line="360" w:lineRule="auto"/>
        <w:rPr>
          <w:rFonts w:asciiTheme="minorHAnsi" w:hAnsiTheme="minorHAnsi"/>
          <w:b/>
          <w:iCs/>
          <w:sz w:val="22"/>
          <w:szCs w:val="22"/>
          <w:lang w:val="en-IE"/>
        </w:rPr>
      </w:pPr>
      <w:r w:rsidRPr="00AD3E7E">
        <w:rPr>
          <w:rFonts w:asciiTheme="minorHAnsi" w:hAnsiTheme="minorHAnsi"/>
          <w:b/>
          <w:iCs/>
          <w:sz w:val="22"/>
          <w:szCs w:val="22"/>
          <w:lang w:val="en-IE"/>
        </w:rPr>
        <w:t>Functions and Responsibilities:</w:t>
      </w:r>
    </w:p>
    <w:p w14:paraId="10B70B00" w14:textId="014FCE59"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Evaluate and make decisions on licensing applications from commercial bus operators in accordance with the provisions of the Public Transport Regulation Act, 2009 and the Authority's Guidelines for the Licensing of Public Bus Passenger Services</w:t>
      </w:r>
      <w:r>
        <w:rPr>
          <w:rFonts w:asciiTheme="minorHAnsi" w:hAnsiTheme="minorHAnsi" w:cstheme="minorHAnsi"/>
          <w:sz w:val="22"/>
          <w:szCs w:val="22"/>
          <w:lang w:val="en-IE" w:eastAsia="en-US"/>
        </w:rPr>
        <w:t>;</w:t>
      </w:r>
    </w:p>
    <w:p w14:paraId="592DB6F8" w14:textId="743A6AF1"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Analyse trends in bus licence amendments and applications</w:t>
      </w:r>
      <w:r>
        <w:rPr>
          <w:rFonts w:asciiTheme="minorHAnsi" w:hAnsiTheme="minorHAnsi" w:cstheme="minorHAnsi"/>
          <w:sz w:val="22"/>
          <w:szCs w:val="22"/>
          <w:lang w:val="en-IE" w:eastAsia="en-US"/>
        </w:rPr>
        <w:t>;</w:t>
      </w:r>
      <w:r w:rsidRPr="00E26F58">
        <w:rPr>
          <w:rFonts w:asciiTheme="minorHAnsi" w:hAnsiTheme="minorHAnsi" w:cstheme="minorHAnsi"/>
          <w:sz w:val="22"/>
          <w:szCs w:val="22"/>
          <w:lang w:val="en-IE" w:eastAsia="en-US"/>
        </w:rPr>
        <w:t xml:space="preserve"> </w:t>
      </w:r>
    </w:p>
    <w:p w14:paraId="49D13C3B" w14:textId="3B60A40A"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Undertake market analysis and prepare analytical reports on both licensed and contracted bus operations</w:t>
      </w:r>
      <w:r>
        <w:rPr>
          <w:rFonts w:asciiTheme="minorHAnsi" w:hAnsiTheme="minorHAnsi" w:cstheme="minorHAnsi"/>
          <w:sz w:val="22"/>
          <w:szCs w:val="22"/>
          <w:lang w:val="en-IE" w:eastAsia="en-US"/>
        </w:rPr>
        <w:t>;</w:t>
      </w:r>
    </w:p>
    <w:p w14:paraId="7B009219" w14:textId="60FC637E"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Assess overall transport demand and trends in Ireland and review international regulatory practice in public transport</w:t>
      </w:r>
      <w:r>
        <w:rPr>
          <w:rFonts w:asciiTheme="minorHAnsi" w:hAnsiTheme="minorHAnsi" w:cstheme="minorHAnsi"/>
          <w:sz w:val="22"/>
          <w:szCs w:val="22"/>
          <w:lang w:val="en-IE" w:eastAsia="en-US"/>
        </w:rPr>
        <w:t>;</w:t>
      </w:r>
      <w:r w:rsidRPr="00E26F58">
        <w:rPr>
          <w:rFonts w:asciiTheme="minorHAnsi" w:hAnsiTheme="minorHAnsi" w:cstheme="minorHAnsi"/>
          <w:sz w:val="22"/>
          <w:szCs w:val="22"/>
          <w:lang w:val="en-IE" w:eastAsia="en-US"/>
        </w:rPr>
        <w:t xml:space="preserve"> </w:t>
      </w:r>
    </w:p>
    <w:p w14:paraId="5FF1D426" w14:textId="0679C282"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Evaluate and make decisions on applications in relation to EU Regulations and International Agreements governing passenger transport by bus and coach</w:t>
      </w:r>
      <w:r>
        <w:rPr>
          <w:rFonts w:asciiTheme="minorHAnsi" w:hAnsiTheme="minorHAnsi" w:cstheme="minorHAnsi"/>
          <w:sz w:val="22"/>
          <w:szCs w:val="22"/>
          <w:lang w:val="en-IE" w:eastAsia="en-US"/>
        </w:rPr>
        <w:t>;</w:t>
      </w:r>
    </w:p>
    <w:p w14:paraId="5B649470" w14:textId="75E16327"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Evaluate the incorporation of new licence conditions, including those in relation to accessibility, real time information, and integrated ticketing</w:t>
      </w:r>
      <w:r>
        <w:rPr>
          <w:rFonts w:asciiTheme="minorHAnsi" w:hAnsiTheme="minorHAnsi" w:cstheme="minorHAnsi"/>
          <w:sz w:val="22"/>
          <w:szCs w:val="22"/>
          <w:lang w:val="en-IE" w:eastAsia="en-US"/>
        </w:rPr>
        <w:t>;</w:t>
      </w:r>
    </w:p>
    <w:p w14:paraId="3C9F7656" w14:textId="659359A5"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Review the Authority's statutory Guidelines and prepare draft amended guidelines</w:t>
      </w:r>
      <w:r w:rsidR="00356F4A">
        <w:rPr>
          <w:rFonts w:asciiTheme="minorHAnsi" w:hAnsiTheme="minorHAnsi" w:cstheme="minorHAnsi"/>
          <w:sz w:val="22"/>
          <w:szCs w:val="22"/>
          <w:lang w:val="en-IE" w:eastAsia="en-US"/>
        </w:rPr>
        <w:t>;</w:t>
      </w:r>
    </w:p>
    <w:p w14:paraId="4C8B9F6D" w14:textId="0CC6B00F"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Act as a Freedom of Information Officer as required</w:t>
      </w:r>
      <w:r>
        <w:rPr>
          <w:rFonts w:asciiTheme="minorHAnsi" w:hAnsiTheme="minorHAnsi" w:cstheme="minorHAnsi"/>
          <w:sz w:val="22"/>
          <w:szCs w:val="22"/>
          <w:lang w:val="en-IE" w:eastAsia="en-US"/>
        </w:rPr>
        <w:t>;</w:t>
      </w:r>
    </w:p>
    <w:p w14:paraId="236FFECD" w14:textId="31717924"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Prepare material for reply to Freedom of Information Requests, representations, complaints and Parliamentary Questions</w:t>
      </w:r>
      <w:r>
        <w:rPr>
          <w:rFonts w:asciiTheme="minorHAnsi" w:hAnsiTheme="minorHAnsi" w:cstheme="minorHAnsi"/>
          <w:sz w:val="22"/>
          <w:szCs w:val="22"/>
          <w:lang w:val="en-IE" w:eastAsia="en-US"/>
        </w:rPr>
        <w:t>;</w:t>
      </w:r>
      <w:r w:rsidRPr="00E26F58">
        <w:rPr>
          <w:rFonts w:asciiTheme="minorHAnsi" w:hAnsiTheme="minorHAnsi" w:cstheme="minorHAnsi"/>
          <w:sz w:val="22"/>
          <w:szCs w:val="22"/>
          <w:lang w:val="en-IE" w:eastAsia="en-US"/>
        </w:rPr>
        <w:t xml:space="preserve"> </w:t>
      </w:r>
    </w:p>
    <w:p w14:paraId="1A8ECF06" w14:textId="00C8A5B8"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Prepare material for reports and the website</w:t>
      </w:r>
      <w:r>
        <w:rPr>
          <w:rFonts w:asciiTheme="minorHAnsi" w:hAnsiTheme="minorHAnsi" w:cstheme="minorHAnsi"/>
          <w:sz w:val="22"/>
          <w:szCs w:val="22"/>
          <w:lang w:val="en-IE" w:eastAsia="en-US"/>
        </w:rPr>
        <w:t>;</w:t>
      </w:r>
      <w:r w:rsidRPr="00E26F58">
        <w:rPr>
          <w:rFonts w:asciiTheme="minorHAnsi" w:hAnsiTheme="minorHAnsi" w:cstheme="minorHAnsi"/>
          <w:sz w:val="22"/>
          <w:szCs w:val="22"/>
          <w:lang w:val="en-IE" w:eastAsia="en-US"/>
        </w:rPr>
        <w:t xml:space="preserve"> </w:t>
      </w:r>
    </w:p>
    <w:p w14:paraId="73A8D6C5" w14:textId="4AFDD30B"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Act as a witness in Court when required</w:t>
      </w:r>
      <w:r>
        <w:rPr>
          <w:rFonts w:asciiTheme="minorHAnsi" w:hAnsiTheme="minorHAnsi" w:cstheme="minorHAnsi"/>
          <w:sz w:val="22"/>
          <w:szCs w:val="22"/>
          <w:lang w:val="en-IE" w:eastAsia="en-US"/>
        </w:rPr>
        <w:t>;</w:t>
      </w:r>
      <w:r w:rsidRPr="00E26F58">
        <w:rPr>
          <w:rFonts w:asciiTheme="minorHAnsi" w:hAnsiTheme="minorHAnsi" w:cstheme="minorHAnsi"/>
          <w:sz w:val="22"/>
          <w:szCs w:val="22"/>
          <w:lang w:val="en-IE" w:eastAsia="en-US"/>
        </w:rPr>
        <w:t xml:space="preserve"> </w:t>
      </w:r>
    </w:p>
    <w:p w14:paraId="2F44293F" w14:textId="5EC02828"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Provide support regarding licensed bus compliance to the Regulation Directorate as required</w:t>
      </w:r>
      <w:r>
        <w:rPr>
          <w:rFonts w:asciiTheme="minorHAnsi" w:hAnsiTheme="minorHAnsi" w:cstheme="minorHAnsi"/>
          <w:sz w:val="22"/>
          <w:szCs w:val="22"/>
          <w:lang w:val="en-IE" w:eastAsia="en-US"/>
        </w:rPr>
        <w:t xml:space="preserve">; </w:t>
      </w:r>
      <w:r w:rsidRPr="00E26F58">
        <w:rPr>
          <w:rFonts w:asciiTheme="minorHAnsi" w:hAnsiTheme="minorHAnsi" w:cstheme="minorHAnsi"/>
          <w:sz w:val="22"/>
          <w:szCs w:val="22"/>
          <w:lang w:val="en-IE" w:eastAsia="en-US"/>
        </w:rPr>
        <w:t>and</w:t>
      </w:r>
    </w:p>
    <w:p w14:paraId="64EF1C18" w14:textId="77777777" w:rsidR="00E26F58" w:rsidRPr="00E26F58" w:rsidRDefault="00E26F58" w:rsidP="00E26F58">
      <w:pPr>
        <w:pStyle w:val="BodyText"/>
        <w:numPr>
          <w:ilvl w:val="0"/>
          <w:numId w:val="47"/>
        </w:numPr>
        <w:kinsoku w:val="0"/>
        <w:overflowPunct w:val="0"/>
        <w:spacing w:line="360" w:lineRule="auto"/>
        <w:ind w:right="-32"/>
        <w:jc w:val="both"/>
        <w:rPr>
          <w:rFonts w:asciiTheme="minorHAnsi" w:hAnsiTheme="minorHAnsi" w:cstheme="minorHAnsi"/>
          <w:sz w:val="22"/>
          <w:szCs w:val="22"/>
          <w:lang w:val="en-IE" w:eastAsia="en-US"/>
        </w:rPr>
      </w:pPr>
      <w:r w:rsidRPr="00E26F58">
        <w:rPr>
          <w:rFonts w:asciiTheme="minorHAnsi" w:hAnsiTheme="minorHAnsi" w:cstheme="minorHAnsi"/>
          <w:sz w:val="22"/>
          <w:szCs w:val="22"/>
          <w:lang w:val="en-IE" w:eastAsia="en-US"/>
        </w:rPr>
        <w:t>Take part in other Authority projects and initiatives as required.</w:t>
      </w:r>
    </w:p>
    <w:p w14:paraId="38A0595F"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7A9172FD" w14:textId="735E2E32"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w:t>
      </w:r>
      <w:r w:rsidR="00E26F58">
        <w:rPr>
          <w:rFonts w:asciiTheme="minorHAnsi" w:hAnsiTheme="minorHAnsi" w:cstheme="minorHAnsi"/>
          <w:i/>
          <w:sz w:val="22"/>
          <w:szCs w:val="22"/>
        </w:rPr>
        <w:t xml:space="preserve"> </w:t>
      </w:r>
      <w:r w:rsidRPr="00914C6B">
        <w:rPr>
          <w:rFonts w:asciiTheme="minorHAnsi" w:hAnsiTheme="minorHAnsi" w:cstheme="minorHAnsi"/>
          <w:i/>
          <w:sz w:val="22"/>
          <w:szCs w:val="22"/>
        </w:rPr>
        <w:t>appointed require</w:t>
      </w:r>
      <w:r w:rsidR="00B07AEA">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38F5602D"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38777963" w14:textId="77777777" w:rsidR="009D4941" w:rsidRPr="00914C6B" w:rsidRDefault="009D4941">
      <w:pPr>
        <w:rPr>
          <w:rFonts w:asciiTheme="minorHAnsi" w:hAnsiTheme="minorHAnsi" w:cstheme="minorHAnsi"/>
          <w:b/>
          <w:i/>
          <w:sz w:val="22"/>
          <w:szCs w:val="22"/>
          <w:u w:val="single"/>
        </w:rPr>
      </w:pPr>
      <w:r w:rsidRPr="00914C6B">
        <w:rPr>
          <w:rFonts w:asciiTheme="minorHAnsi" w:hAnsiTheme="minorHAnsi" w:cstheme="minorHAnsi"/>
          <w:b/>
          <w:i/>
          <w:sz w:val="22"/>
          <w:szCs w:val="22"/>
          <w:u w:val="single"/>
        </w:rPr>
        <w:br w:type="page"/>
      </w:r>
    </w:p>
    <w:p w14:paraId="5A78990A" w14:textId="77777777"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lastRenderedPageBreak/>
        <w:t>ESSENTIAL REQUIREMENTS:</w:t>
      </w:r>
    </w:p>
    <w:p w14:paraId="5F93F8CF"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4ABD17C8"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534633CA"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473DA7F2" w14:textId="77777777" w:rsidR="000778E6" w:rsidRDefault="000778E6" w:rsidP="00E6233C">
      <w:pPr>
        <w:tabs>
          <w:tab w:val="left" w:pos="8364"/>
        </w:tabs>
        <w:spacing w:line="360" w:lineRule="auto"/>
        <w:ind w:right="-32"/>
        <w:jc w:val="both"/>
        <w:rPr>
          <w:rFonts w:ascii="Calibri" w:hAnsi="Calibri"/>
          <w:b/>
          <w:i/>
          <w:sz w:val="22"/>
          <w:szCs w:val="22"/>
        </w:rPr>
      </w:pPr>
    </w:p>
    <w:p w14:paraId="2360C768"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52CEA81D"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5D143760" w14:textId="77777777" w:rsidR="00CC60B3" w:rsidRDefault="00CC60B3" w:rsidP="00E6233C">
      <w:pPr>
        <w:tabs>
          <w:tab w:val="left" w:pos="8364"/>
        </w:tabs>
        <w:spacing w:line="360" w:lineRule="auto"/>
        <w:ind w:right="-32"/>
        <w:jc w:val="both"/>
        <w:rPr>
          <w:rFonts w:ascii="Calibri" w:hAnsi="Calibri"/>
          <w:sz w:val="22"/>
          <w:szCs w:val="22"/>
        </w:rPr>
      </w:pPr>
    </w:p>
    <w:p w14:paraId="50F234EA" w14:textId="77777777" w:rsidR="00FF69BE" w:rsidRPr="00AF63E8" w:rsidRDefault="00FF69BE" w:rsidP="00FF69BE">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E26F58">
        <w:rPr>
          <w:rFonts w:asciiTheme="minorHAnsi" w:hAnsiTheme="minorHAnsi" w:cstheme="minorHAnsi"/>
          <w:b/>
          <w:bCs/>
          <w:i/>
          <w:kern w:val="32"/>
          <w:sz w:val="22"/>
          <w:szCs w:val="22"/>
          <w:u w:val="single"/>
        </w:rPr>
        <w:t>ESSENTIAL CRITERIA:</w:t>
      </w:r>
    </w:p>
    <w:p w14:paraId="76E4D643" w14:textId="77777777" w:rsidR="00FF69BE" w:rsidRPr="00AF63E8" w:rsidRDefault="00FF69BE" w:rsidP="00AA4FB6">
      <w:pPr>
        <w:tabs>
          <w:tab w:val="left" w:pos="8364"/>
        </w:tabs>
        <w:spacing w:line="360" w:lineRule="auto"/>
        <w:ind w:right="-32"/>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43FCBFB3" w14:textId="77777777" w:rsidR="00FF69BE" w:rsidRPr="00AF63E8" w:rsidRDefault="00FF69BE" w:rsidP="00AA4FB6">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52531D81" w14:textId="77777777" w:rsidR="00FF69BE" w:rsidRPr="00AF63E8" w:rsidRDefault="00FF69BE" w:rsidP="00AA4FB6">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599FB1C8" w14:textId="55CE7299" w:rsidR="00FF69BE" w:rsidRPr="00AD3E7E" w:rsidRDefault="00FF69BE" w:rsidP="00AA4FB6">
      <w:pPr>
        <w:pStyle w:val="ListParagraph"/>
        <w:numPr>
          <w:ilvl w:val="0"/>
          <w:numId w:val="48"/>
        </w:numPr>
        <w:spacing w:line="360" w:lineRule="auto"/>
        <w:jc w:val="both"/>
        <w:rPr>
          <w:rFonts w:asciiTheme="minorHAnsi" w:hAnsiTheme="minorHAnsi"/>
          <w:iCs/>
          <w:sz w:val="22"/>
          <w:szCs w:val="22"/>
          <w:lang w:val="en-IE"/>
        </w:rPr>
      </w:pPr>
      <w:r w:rsidRPr="00AD3E7E">
        <w:rPr>
          <w:rFonts w:asciiTheme="minorHAnsi" w:hAnsiTheme="minorHAnsi"/>
          <w:iCs/>
          <w:sz w:val="22"/>
          <w:szCs w:val="22"/>
          <w:lang w:val="en-IE"/>
        </w:rPr>
        <w:t xml:space="preserve">Hold a minimum of an NFQ </w:t>
      </w:r>
      <w:r>
        <w:rPr>
          <w:rFonts w:asciiTheme="minorHAnsi" w:hAnsiTheme="minorHAnsi"/>
          <w:iCs/>
          <w:sz w:val="22"/>
          <w:szCs w:val="22"/>
          <w:lang w:val="en-IE"/>
        </w:rPr>
        <w:t>degree level</w:t>
      </w:r>
      <w:r w:rsidRPr="00AD3E7E">
        <w:rPr>
          <w:rFonts w:asciiTheme="minorHAnsi" w:hAnsiTheme="minorHAnsi"/>
          <w:iCs/>
          <w:sz w:val="22"/>
          <w:szCs w:val="22"/>
          <w:lang w:val="en-IE"/>
        </w:rPr>
        <w:t xml:space="preserve"> </w:t>
      </w:r>
      <w:r w:rsidR="00B07AEA">
        <w:rPr>
          <w:rFonts w:asciiTheme="minorHAnsi" w:hAnsiTheme="minorHAnsi"/>
          <w:iCs/>
          <w:sz w:val="22"/>
          <w:szCs w:val="22"/>
          <w:lang w:val="en-IE"/>
        </w:rPr>
        <w:t xml:space="preserve">qualification </w:t>
      </w:r>
      <w:r w:rsidRPr="00AD3E7E">
        <w:rPr>
          <w:rFonts w:asciiTheme="minorHAnsi" w:hAnsiTheme="minorHAnsi"/>
          <w:iCs/>
          <w:sz w:val="22"/>
          <w:szCs w:val="22"/>
          <w:lang w:val="en-IE"/>
        </w:rPr>
        <w:t xml:space="preserve">in a relevant discipline </w:t>
      </w:r>
      <w:r>
        <w:rPr>
          <w:rFonts w:asciiTheme="minorHAnsi" w:hAnsiTheme="minorHAnsi"/>
          <w:iCs/>
          <w:sz w:val="22"/>
          <w:szCs w:val="22"/>
          <w:lang w:val="en-IE"/>
        </w:rPr>
        <w:t>being</w:t>
      </w:r>
      <w:r w:rsidRPr="00AD3E7E">
        <w:rPr>
          <w:rFonts w:asciiTheme="minorHAnsi" w:hAnsiTheme="minorHAnsi"/>
          <w:iCs/>
          <w:sz w:val="22"/>
          <w:szCs w:val="22"/>
          <w:lang w:val="en-IE"/>
        </w:rPr>
        <w:t xml:space="preserve"> Economics, Logistics, Transport Planning, Geography or </w:t>
      </w:r>
      <w:r>
        <w:rPr>
          <w:rFonts w:asciiTheme="minorHAnsi" w:hAnsiTheme="minorHAnsi"/>
          <w:iCs/>
          <w:sz w:val="22"/>
          <w:szCs w:val="22"/>
          <w:lang w:val="en-IE"/>
        </w:rPr>
        <w:t>equivalent;</w:t>
      </w:r>
    </w:p>
    <w:p w14:paraId="5E743047" w14:textId="77777777" w:rsidR="00FF69BE" w:rsidRPr="008F6734" w:rsidRDefault="00FF69BE" w:rsidP="00AA4FB6">
      <w:pPr>
        <w:pStyle w:val="ListParagraph"/>
        <w:numPr>
          <w:ilvl w:val="0"/>
          <w:numId w:val="48"/>
        </w:numPr>
        <w:spacing w:line="360" w:lineRule="auto"/>
        <w:jc w:val="both"/>
        <w:rPr>
          <w:rFonts w:asciiTheme="minorHAnsi" w:hAnsiTheme="minorHAnsi"/>
          <w:iCs/>
          <w:sz w:val="22"/>
          <w:szCs w:val="22"/>
          <w:lang w:val="en-IE"/>
        </w:rPr>
      </w:pPr>
      <w:r w:rsidRPr="008F6734">
        <w:rPr>
          <w:rFonts w:asciiTheme="minorHAnsi" w:hAnsiTheme="minorHAnsi"/>
          <w:iCs/>
          <w:sz w:val="22"/>
          <w:szCs w:val="22"/>
          <w:lang w:val="en-IE"/>
        </w:rPr>
        <w:t xml:space="preserve">Have a minimum of 5 years’ post graduate experience working in public transport, with at least 2 years’ experience in an analysis or research focused role; </w:t>
      </w:r>
    </w:p>
    <w:p w14:paraId="2A6CFFD7" w14:textId="37427CE0" w:rsidR="00FF69BE" w:rsidRPr="008F6734" w:rsidRDefault="00FF69BE" w:rsidP="00AA4FB6">
      <w:pPr>
        <w:pStyle w:val="ListParagraph"/>
        <w:numPr>
          <w:ilvl w:val="0"/>
          <w:numId w:val="48"/>
        </w:numPr>
        <w:spacing w:line="360" w:lineRule="auto"/>
        <w:jc w:val="both"/>
        <w:rPr>
          <w:rFonts w:asciiTheme="minorHAnsi" w:hAnsiTheme="minorHAnsi"/>
          <w:iCs/>
          <w:sz w:val="22"/>
          <w:szCs w:val="22"/>
          <w:lang w:val="en-IE"/>
        </w:rPr>
      </w:pPr>
      <w:r w:rsidRPr="008F6734">
        <w:rPr>
          <w:rFonts w:asciiTheme="minorHAnsi" w:hAnsiTheme="minorHAnsi"/>
          <w:iCs/>
          <w:sz w:val="22"/>
          <w:szCs w:val="22"/>
          <w:lang w:val="en-IE"/>
        </w:rPr>
        <w:t xml:space="preserve">Have a minimum of 2 years’ </w:t>
      </w:r>
      <w:r w:rsidR="00B07AEA">
        <w:rPr>
          <w:rFonts w:asciiTheme="minorHAnsi" w:hAnsiTheme="minorHAnsi"/>
          <w:iCs/>
          <w:sz w:val="22"/>
          <w:szCs w:val="22"/>
          <w:lang w:val="en-IE"/>
        </w:rPr>
        <w:t xml:space="preserve">experience </w:t>
      </w:r>
      <w:r w:rsidRPr="008F6734">
        <w:rPr>
          <w:rFonts w:asciiTheme="minorHAnsi" w:hAnsiTheme="minorHAnsi"/>
          <w:iCs/>
          <w:sz w:val="22"/>
          <w:szCs w:val="22"/>
          <w:lang w:val="en-IE"/>
        </w:rPr>
        <w:t>managing people or projects;</w:t>
      </w:r>
    </w:p>
    <w:p w14:paraId="329FB219" w14:textId="77777777" w:rsidR="00FF69BE" w:rsidRPr="00AD3E7E" w:rsidRDefault="00FF69BE" w:rsidP="00AA4FB6">
      <w:pPr>
        <w:pStyle w:val="ListParagraph"/>
        <w:numPr>
          <w:ilvl w:val="0"/>
          <w:numId w:val="48"/>
        </w:numPr>
        <w:spacing w:line="360" w:lineRule="auto"/>
        <w:jc w:val="both"/>
        <w:rPr>
          <w:rFonts w:asciiTheme="minorHAnsi" w:hAnsiTheme="minorHAnsi"/>
          <w:iCs/>
          <w:sz w:val="22"/>
          <w:szCs w:val="22"/>
          <w:lang w:val="en-IE"/>
        </w:rPr>
      </w:pPr>
      <w:r>
        <w:rPr>
          <w:rFonts w:asciiTheme="minorHAnsi" w:hAnsiTheme="minorHAnsi"/>
          <w:iCs/>
          <w:sz w:val="22"/>
          <w:szCs w:val="22"/>
          <w:lang w:val="en-IE"/>
        </w:rPr>
        <w:t>Have e</w:t>
      </w:r>
      <w:r w:rsidRPr="00AD3E7E">
        <w:rPr>
          <w:rFonts w:asciiTheme="minorHAnsi" w:hAnsiTheme="minorHAnsi"/>
          <w:iCs/>
          <w:sz w:val="22"/>
          <w:szCs w:val="22"/>
          <w:lang w:val="en-IE"/>
        </w:rPr>
        <w:t>xcellent research and analytical skills</w:t>
      </w:r>
      <w:r>
        <w:rPr>
          <w:rFonts w:asciiTheme="minorHAnsi" w:hAnsiTheme="minorHAnsi"/>
          <w:iCs/>
          <w:sz w:val="22"/>
          <w:szCs w:val="22"/>
          <w:lang w:val="en-IE"/>
        </w:rPr>
        <w:t xml:space="preserve">; </w:t>
      </w:r>
    </w:p>
    <w:p w14:paraId="33803E80" w14:textId="77777777" w:rsidR="00FF69BE" w:rsidRDefault="00FF69BE" w:rsidP="00AA4FB6">
      <w:pPr>
        <w:pStyle w:val="ListParagraph"/>
        <w:numPr>
          <w:ilvl w:val="0"/>
          <w:numId w:val="48"/>
        </w:numPr>
        <w:spacing w:line="360" w:lineRule="auto"/>
        <w:jc w:val="both"/>
        <w:rPr>
          <w:rFonts w:asciiTheme="minorHAnsi" w:hAnsiTheme="minorHAnsi"/>
          <w:iCs/>
          <w:sz w:val="22"/>
          <w:szCs w:val="22"/>
          <w:lang w:val="en-IE"/>
        </w:rPr>
      </w:pPr>
      <w:r>
        <w:rPr>
          <w:rFonts w:asciiTheme="minorHAnsi" w:hAnsiTheme="minorHAnsi"/>
          <w:iCs/>
          <w:sz w:val="22"/>
          <w:szCs w:val="22"/>
          <w:lang w:val="en-IE"/>
        </w:rPr>
        <w:t>Have e</w:t>
      </w:r>
      <w:r w:rsidRPr="00AD3E7E">
        <w:rPr>
          <w:rFonts w:asciiTheme="minorHAnsi" w:hAnsiTheme="minorHAnsi"/>
          <w:iCs/>
          <w:sz w:val="22"/>
          <w:szCs w:val="22"/>
          <w:lang w:val="en-IE"/>
        </w:rPr>
        <w:t>ffective written and verbal communication skills</w:t>
      </w:r>
      <w:r>
        <w:rPr>
          <w:rFonts w:asciiTheme="minorHAnsi" w:hAnsiTheme="minorHAnsi"/>
          <w:iCs/>
          <w:sz w:val="22"/>
          <w:szCs w:val="22"/>
          <w:lang w:val="en-IE"/>
        </w:rPr>
        <w:t xml:space="preserve">; </w:t>
      </w:r>
    </w:p>
    <w:p w14:paraId="59EA9109" w14:textId="77777777" w:rsidR="00FF69BE" w:rsidRDefault="00FF69BE" w:rsidP="00AA4FB6">
      <w:pPr>
        <w:pStyle w:val="ListParagraph"/>
        <w:numPr>
          <w:ilvl w:val="0"/>
          <w:numId w:val="48"/>
        </w:numPr>
        <w:spacing w:line="360" w:lineRule="auto"/>
        <w:jc w:val="both"/>
        <w:rPr>
          <w:rFonts w:asciiTheme="minorHAnsi" w:hAnsiTheme="minorHAnsi"/>
          <w:iCs/>
          <w:sz w:val="22"/>
          <w:szCs w:val="22"/>
          <w:lang w:val="en-IE"/>
        </w:rPr>
      </w:pPr>
      <w:r>
        <w:rPr>
          <w:rFonts w:asciiTheme="minorHAnsi" w:hAnsiTheme="minorHAnsi"/>
          <w:iCs/>
          <w:sz w:val="22"/>
          <w:szCs w:val="22"/>
          <w:lang w:val="en-IE"/>
        </w:rPr>
        <w:t xml:space="preserve">Be proficient </w:t>
      </w:r>
      <w:r w:rsidRPr="00AD3E7E">
        <w:rPr>
          <w:rFonts w:asciiTheme="minorHAnsi" w:hAnsiTheme="minorHAnsi"/>
          <w:iCs/>
          <w:sz w:val="22"/>
          <w:szCs w:val="22"/>
          <w:lang w:val="en-IE"/>
        </w:rPr>
        <w:t>in the preparation and presentation of concise reports for a management audience</w:t>
      </w:r>
      <w:r>
        <w:rPr>
          <w:rFonts w:asciiTheme="minorHAnsi" w:hAnsiTheme="minorHAnsi"/>
          <w:iCs/>
          <w:sz w:val="22"/>
          <w:szCs w:val="22"/>
          <w:lang w:val="en-IE"/>
        </w:rPr>
        <w:t xml:space="preserve">; and </w:t>
      </w:r>
    </w:p>
    <w:p w14:paraId="16CAECA0" w14:textId="77777777" w:rsidR="00FF69BE" w:rsidRPr="00AD3E7E" w:rsidRDefault="00FF69BE" w:rsidP="00AA4FB6">
      <w:pPr>
        <w:pStyle w:val="ListParagraph"/>
        <w:numPr>
          <w:ilvl w:val="0"/>
          <w:numId w:val="48"/>
        </w:numPr>
        <w:spacing w:line="360" w:lineRule="auto"/>
        <w:jc w:val="both"/>
        <w:rPr>
          <w:rFonts w:asciiTheme="minorHAnsi" w:hAnsiTheme="minorHAnsi"/>
          <w:iCs/>
          <w:sz w:val="22"/>
          <w:szCs w:val="22"/>
          <w:lang w:val="en-IE"/>
        </w:rPr>
      </w:pPr>
      <w:r>
        <w:rPr>
          <w:rFonts w:asciiTheme="minorHAnsi" w:hAnsiTheme="minorHAnsi"/>
          <w:iCs/>
          <w:sz w:val="22"/>
          <w:szCs w:val="22"/>
          <w:lang w:val="en-IE"/>
        </w:rPr>
        <w:t xml:space="preserve">Be proficient in the MS Office suite, in particular Word and Excel. </w:t>
      </w:r>
    </w:p>
    <w:p w14:paraId="01E46E40" w14:textId="77777777" w:rsidR="00FF69BE" w:rsidRPr="00AF63E8" w:rsidRDefault="00FF69BE" w:rsidP="00AA4FB6">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3366429A" w14:textId="77777777" w:rsidR="00FF69BE" w:rsidRPr="00AF63E8" w:rsidRDefault="00FF69BE" w:rsidP="00AA4FB6">
      <w:pPr>
        <w:tabs>
          <w:tab w:val="left" w:pos="8364"/>
        </w:tabs>
        <w:spacing w:line="360" w:lineRule="auto"/>
        <w:ind w:right="-32"/>
        <w:jc w:val="both"/>
        <w:rPr>
          <w:rFonts w:asciiTheme="minorHAnsi" w:hAnsiTheme="minorHAnsi" w:cstheme="minorHAnsi"/>
          <w:i/>
          <w:color w:val="000000" w:themeColor="text1"/>
          <w:sz w:val="22"/>
          <w:szCs w:val="22"/>
          <w:u w:val="single"/>
        </w:rPr>
      </w:pPr>
      <w:r w:rsidRPr="00E26F58">
        <w:rPr>
          <w:rFonts w:asciiTheme="minorHAnsi" w:hAnsiTheme="minorHAnsi" w:cstheme="minorHAnsi"/>
          <w:b/>
          <w:i/>
          <w:color w:val="000000" w:themeColor="text1"/>
          <w:sz w:val="22"/>
          <w:szCs w:val="22"/>
          <w:u w:val="single"/>
        </w:rPr>
        <w:t>DESIRABLE ATTRIBUTES:</w:t>
      </w:r>
    </w:p>
    <w:p w14:paraId="7515CE02" w14:textId="77777777" w:rsidR="00FF69BE" w:rsidRPr="00AF63E8" w:rsidRDefault="00FF69BE" w:rsidP="00AA4FB6">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608D1F2E" w14:textId="77777777" w:rsidR="00FF69BE" w:rsidRPr="00AF63E8" w:rsidRDefault="00FF69BE" w:rsidP="00AA4FB6">
      <w:pPr>
        <w:spacing w:after="200" w:line="360" w:lineRule="auto"/>
        <w:ind w:right="-32"/>
        <w:contextualSpacing/>
        <w:jc w:val="both"/>
        <w:rPr>
          <w:rFonts w:asciiTheme="minorHAnsi" w:hAnsiTheme="minorHAnsi" w:cstheme="minorHAnsi"/>
          <w:i/>
          <w:color w:val="000000" w:themeColor="text1"/>
          <w:sz w:val="22"/>
          <w:szCs w:val="22"/>
          <w:u w:val="single"/>
        </w:rPr>
      </w:pPr>
    </w:p>
    <w:p w14:paraId="20F21CAD" w14:textId="77777777" w:rsidR="00FF69BE" w:rsidRPr="00AF63E8" w:rsidRDefault="00FF69BE" w:rsidP="00AA4FB6">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0342E115" w14:textId="77777777" w:rsidR="00FF69BE" w:rsidRPr="008F6734" w:rsidRDefault="00FF69BE" w:rsidP="00AA4FB6">
      <w:pPr>
        <w:pStyle w:val="ListParagraph"/>
        <w:numPr>
          <w:ilvl w:val="0"/>
          <w:numId w:val="48"/>
        </w:numPr>
        <w:spacing w:line="360" w:lineRule="auto"/>
        <w:jc w:val="both"/>
        <w:rPr>
          <w:rFonts w:asciiTheme="minorHAnsi" w:hAnsiTheme="minorHAnsi"/>
          <w:iCs/>
          <w:sz w:val="22"/>
          <w:szCs w:val="22"/>
          <w:lang w:val="en-IE"/>
        </w:rPr>
      </w:pPr>
      <w:r>
        <w:rPr>
          <w:rFonts w:asciiTheme="minorHAnsi" w:hAnsiTheme="minorHAnsi"/>
          <w:iCs/>
          <w:sz w:val="22"/>
          <w:szCs w:val="22"/>
          <w:lang w:val="en-IE"/>
        </w:rPr>
        <w:t>Have e</w:t>
      </w:r>
      <w:r w:rsidRPr="00AD3E7E">
        <w:rPr>
          <w:rFonts w:asciiTheme="minorHAnsi" w:hAnsiTheme="minorHAnsi"/>
          <w:iCs/>
          <w:sz w:val="22"/>
          <w:szCs w:val="22"/>
          <w:lang w:val="en-IE"/>
        </w:rPr>
        <w:t>xperience</w:t>
      </w:r>
      <w:r>
        <w:rPr>
          <w:rFonts w:asciiTheme="minorHAnsi" w:hAnsiTheme="minorHAnsi"/>
          <w:iCs/>
          <w:sz w:val="22"/>
          <w:szCs w:val="22"/>
          <w:lang w:val="en-IE"/>
        </w:rPr>
        <w:t xml:space="preserve"> in a public transport related role; and</w:t>
      </w:r>
    </w:p>
    <w:p w14:paraId="7951CBE0" w14:textId="1F46BA8D" w:rsidR="00446481" w:rsidRPr="00FF69BE" w:rsidRDefault="00FF69BE" w:rsidP="00AA4FB6">
      <w:pPr>
        <w:pStyle w:val="ListParagraph"/>
        <w:numPr>
          <w:ilvl w:val="0"/>
          <w:numId w:val="48"/>
        </w:numPr>
        <w:spacing w:line="360" w:lineRule="auto"/>
        <w:jc w:val="both"/>
        <w:rPr>
          <w:rFonts w:ascii="Calibri" w:hAnsi="Calibri" w:cs="Arial"/>
          <w:iCs/>
          <w:color w:val="000000" w:themeColor="text1"/>
          <w:sz w:val="22"/>
          <w:szCs w:val="22"/>
          <w:lang w:val="en-IE"/>
        </w:rPr>
      </w:pPr>
      <w:r>
        <w:rPr>
          <w:rFonts w:ascii="Calibri" w:hAnsi="Calibri" w:cs="Arial"/>
          <w:iCs/>
          <w:color w:val="000000" w:themeColor="text1"/>
          <w:sz w:val="22"/>
          <w:szCs w:val="22"/>
          <w:lang w:val="en-IE"/>
        </w:rPr>
        <w:t>Have the a</w:t>
      </w:r>
      <w:r w:rsidRPr="00AD3E7E">
        <w:rPr>
          <w:rFonts w:ascii="Calibri" w:hAnsi="Calibri" w:cs="Arial"/>
          <w:iCs/>
          <w:color w:val="000000" w:themeColor="text1"/>
          <w:sz w:val="22"/>
          <w:szCs w:val="22"/>
          <w:lang w:val="en-IE"/>
        </w:rPr>
        <w:t>bility to work as part of a team.</w:t>
      </w:r>
    </w:p>
    <w:p w14:paraId="52073A2C" w14:textId="77777777" w:rsidR="0001518A" w:rsidRDefault="00D642E1" w:rsidP="00AA4FB6">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lastRenderedPageBreak/>
        <w:t>EMPLOYMENT CONDITIONS</w:t>
      </w:r>
      <w:r w:rsidR="007469D5">
        <w:rPr>
          <w:rFonts w:ascii="Calibri" w:hAnsi="Calibri" w:cs="Arial"/>
          <w:b/>
          <w:i/>
          <w:color w:val="000000" w:themeColor="text1"/>
          <w:sz w:val="22"/>
          <w:szCs w:val="22"/>
          <w:u w:val="single"/>
        </w:rPr>
        <w:t>:</w:t>
      </w:r>
    </w:p>
    <w:p w14:paraId="7A4F961A" w14:textId="77777777" w:rsidR="00CF23EA" w:rsidRPr="00DC4826" w:rsidRDefault="00CF23EA" w:rsidP="00AA4FB6">
      <w:pPr>
        <w:spacing w:line="360" w:lineRule="auto"/>
        <w:ind w:right="-32"/>
        <w:jc w:val="both"/>
        <w:rPr>
          <w:rFonts w:ascii="Calibri" w:hAnsi="Calibri" w:cs="Arial"/>
          <w:b/>
          <w:i/>
          <w:color w:val="000000" w:themeColor="text1"/>
          <w:sz w:val="22"/>
          <w:szCs w:val="22"/>
          <w:u w:val="single"/>
        </w:rPr>
      </w:pPr>
    </w:p>
    <w:p w14:paraId="5A3E67C4" w14:textId="77777777" w:rsidR="00805C30" w:rsidRPr="00DC4826" w:rsidRDefault="00805C30" w:rsidP="00AA4FB6">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271FC204" w14:textId="77777777" w:rsidR="007A1FEC" w:rsidRPr="009620D8" w:rsidRDefault="007A1FEC" w:rsidP="00AA4FB6">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862D7F1" w14:textId="77777777" w:rsidR="007A1FEC" w:rsidRPr="00920EF9" w:rsidRDefault="007A1FEC" w:rsidP="00AA4FB6">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5302ECC6" w14:textId="77777777" w:rsidR="00D1583F" w:rsidRPr="00920EF9" w:rsidRDefault="00D1583F" w:rsidP="00AA4FB6">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324258EC" w14:textId="77777777" w:rsidR="007A1FEC" w:rsidRPr="00920EF9" w:rsidRDefault="007A1FEC" w:rsidP="00AA4FB6">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365A2C47" w14:textId="77777777" w:rsidR="007A1FEC" w:rsidRPr="009620D8" w:rsidRDefault="007A1FEC" w:rsidP="00AA4FB6">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3C6171C4" w14:textId="77777777" w:rsidR="007A1FEC" w:rsidRPr="009620D8" w:rsidRDefault="007A1FEC" w:rsidP="00AA4FB6">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01563B1B" w14:textId="77777777" w:rsidR="007A1FEC" w:rsidRPr="002D201E" w:rsidRDefault="007A1FEC" w:rsidP="00AA4FB6">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426388C" w14:textId="77777777" w:rsidR="007A1FEC" w:rsidRDefault="007A1FEC" w:rsidP="00AA4FB6">
      <w:pPr>
        <w:spacing w:line="360" w:lineRule="auto"/>
        <w:ind w:right="-32"/>
        <w:jc w:val="both"/>
        <w:rPr>
          <w:rFonts w:ascii="Calibri" w:hAnsi="Calibri" w:cs="Arial"/>
          <w:b/>
          <w:i/>
          <w:color w:val="000000" w:themeColor="text1"/>
          <w:sz w:val="22"/>
          <w:szCs w:val="22"/>
          <w:u w:val="single"/>
        </w:rPr>
      </w:pPr>
    </w:p>
    <w:p w14:paraId="2954467A" w14:textId="77777777" w:rsidR="00805C30" w:rsidRPr="00DC4826" w:rsidRDefault="00805C30" w:rsidP="00AA4FB6">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21207FAD" w14:textId="77777777" w:rsidR="00A75131" w:rsidRDefault="00805C30" w:rsidP="00AA4FB6">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6CEE304" w14:textId="77777777" w:rsidR="00E63669" w:rsidRDefault="00E63669" w:rsidP="00E6233C">
      <w:pPr>
        <w:spacing w:line="360" w:lineRule="auto"/>
        <w:ind w:right="-32"/>
        <w:jc w:val="both"/>
        <w:rPr>
          <w:rFonts w:ascii="Calibri" w:hAnsi="Calibri" w:cs="Arial"/>
          <w:color w:val="000000" w:themeColor="text1"/>
          <w:sz w:val="22"/>
          <w:szCs w:val="22"/>
        </w:rPr>
      </w:pPr>
    </w:p>
    <w:p w14:paraId="79E8021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55449F1" w14:textId="0792D4E7" w:rsidR="00885AB7" w:rsidRPr="00FF69BE"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0DA5514F"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Department of Health and Children Circular (7/2010):</w:t>
      </w:r>
    </w:p>
    <w:p w14:paraId="1A2D045D"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4C0D3442" w14:textId="77777777" w:rsidR="006D730F" w:rsidRDefault="006D730F" w:rsidP="00E6233C">
      <w:pPr>
        <w:spacing w:line="360" w:lineRule="auto"/>
        <w:ind w:right="-32"/>
        <w:jc w:val="both"/>
        <w:rPr>
          <w:rFonts w:ascii="Calibri" w:hAnsi="Calibri" w:cs="Arial"/>
          <w:color w:val="000000" w:themeColor="text1"/>
          <w:sz w:val="22"/>
          <w:szCs w:val="22"/>
        </w:rPr>
      </w:pPr>
    </w:p>
    <w:p w14:paraId="319AA4F7"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4B75B2B"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9314661" w14:textId="77777777" w:rsidR="00450EE8" w:rsidRDefault="00450EE8" w:rsidP="00E6233C">
      <w:pPr>
        <w:spacing w:line="360" w:lineRule="auto"/>
        <w:ind w:right="-32"/>
        <w:jc w:val="both"/>
        <w:rPr>
          <w:rFonts w:ascii="Calibri" w:hAnsi="Calibri" w:cs="Arial"/>
          <w:b/>
          <w:i/>
          <w:color w:val="000000" w:themeColor="text1"/>
          <w:sz w:val="22"/>
          <w:szCs w:val="22"/>
          <w:u w:val="single"/>
        </w:rPr>
      </w:pPr>
    </w:p>
    <w:p w14:paraId="5265D533"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27B0D6D4"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CB470BB" w14:textId="77777777" w:rsidR="00085E12" w:rsidRDefault="00085E12" w:rsidP="00E6233C">
      <w:pPr>
        <w:spacing w:line="360" w:lineRule="auto"/>
        <w:ind w:right="-32"/>
        <w:jc w:val="both"/>
        <w:rPr>
          <w:rFonts w:ascii="Calibri" w:hAnsi="Calibri" w:cs="Arial"/>
          <w:b/>
          <w:i/>
          <w:color w:val="000000" w:themeColor="text1"/>
          <w:sz w:val="22"/>
          <w:szCs w:val="22"/>
          <w:highlight w:val="yellow"/>
          <w:u w:val="single"/>
        </w:rPr>
      </w:pPr>
    </w:p>
    <w:p w14:paraId="771DF744" w14:textId="77777777" w:rsidR="00085E12" w:rsidRDefault="00085E12">
      <w:pPr>
        <w:rPr>
          <w:rFonts w:ascii="Calibri" w:hAnsi="Calibri" w:cs="Arial"/>
          <w:b/>
          <w:i/>
          <w:color w:val="000000" w:themeColor="text1"/>
          <w:sz w:val="22"/>
          <w:szCs w:val="22"/>
          <w:highlight w:val="yellow"/>
          <w:u w:val="single"/>
        </w:rPr>
      </w:pPr>
      <w:r>
        <w:rPr>
          <w:rFonts w:ascii="Calibri" w:hAnsi="Calibri" w:cs="Arial"/>
          <w:b/>
          <w:i/>
          <w:color w:val="000000" w:themeColor="text1"/>
          <w:sz w:val="22"/>
          <w:szCs w:val="22"/>
          <w:highlight w:val="yellow"/>
          <w:u w:val="single"/>
        </w:rPr>
        <w:br w:type="page"/>
      </w:r>
    </w:p>
    <w:p w14:paraId="462E3990" w14:textId="7155795E" w:rsidR="00805C30" w:rsidRPr="00085E12" w:rsidRDefault="007A1FEC" w:rsidP="00E6233C">
      <w:pPr>
        <w:spacing w:line="360" w:lineRule="auto"/>
        <w:ind w:right="-32"/>
        <w:jc w:val="both"/>
        <w:rPr>
          <w:rFonts w:ascii="Calibri" w:hAnsi="Calibri" w:cs="Arial"/>
          <w:b/>
          <w:i/>
          <w:color w:val="000000" w:themeColor="text1"/>
          <w:sz w:val="22"/>
          <w:szCs w:val="22"/>
          <w:u w:val="single"/>
        </w:rPr>
      </w:pPr>
      <w:r w:rsidRPr="00085E12">
        <w:rPr>
          <w:rFonts w:ascii="Calibri" w:hAnsi="Calibri" w:cs="Arial"/>
          <w:b/>
          <w:i/>
          <w:color w:val="000000" w:themeColor="text1"/>
          <w:sz w:val="22"/>
          <w:szCs w:val="22"/>
          <w:u w:val="single"/>
        </w:rPr>
        <w:lastRenderedPageBreak/>
        <w:t>R</w:t>
      </w:r>
      <w:r w:rsidR="00805C30" w:rsidRPr="00085E12">
        <w:rPr>
          <w:rFonts w:ascii="Calibri" w:hAnsi="Calibri" w:cs="Arial"/>
          <w:b/>
          <w:i/>
          <w:color w:val="000000" w:themeColor="text1"/>
          <w:sz w:val="22"/>
          <w:szCs w:val="22"/>
          <w:u w:val="single"/>
        </w:rPr>
        <w:t xml:space="preserve">emuneration: </w:t>
      </w:r>
    </w:p>
    <w:p w14:paraId="76632C24" w14:textId="770301D4" w:rsidR="000C4777" w:rsidRPr="00085E12" w:rsidRDefault="00690EB0" w:rsidP="00E6233C">
      <w:pPr>
        <w:spacing w:line="360" w:lineRule="auto"/>
        <w:ind w:right="-32"/>
        <w:jc w:val="both"/>
        <w:rPr>
          <w:rFonts w:ascii="Calibri" w:hAnsi="Calibri" w:cs="Arial"/>
          <w:color w:val="000000" w:themeColor="text1"/>
          <w:sz w:val="22"/>
          <w:szCs w:val="22"/>
        </w:rPr>
      </w:pPr>
      <w:r w:rsidRPr="00085E12">
        <w:rPr>
          <w:rFonts w:ascii="Calibri" w:hAnsi="Calibri" w:cs="Arial"/>
          <w:b/>
          <w:i/>
          <w:color w:val="000000" w:themeColor="text1"/>
          <w:sz w:val="22"/>
          <w:szCs w:val="22"/>
        </w:rPr>
        <w:t>Salary Grade:</w:t>
      </w:r>
      <w:r w:rsidRPr="00085E12">
        <w:rPr>
          <w:rFonts w:ascii="Calibri" w:hAnsi="Calibri" w:cs="Arial"/>
          <w:b/>
          <w:i/>
          <w:color w:val="000000" w:themeColor="text1"/>
          <w:sz w:val="22"/>
          <w:szCs w:val="22"/>
        </w:rPr>
        <w:tab/>
      </w:r>
      <w:r w:rsidRPr="00085E12">
        <w:rPr>
          <w:rFonts w:ascii="Calibri" w:hAnsi="Calibri" w:cs="Arial"/>
          <w:b/>
          <w:i/>
          <w:color w:val="000000" w:themeColor="text1"/>
          <w:sz w:val="22"/>
          <w:szCs w:val="22"/>
        </w:rPr>
        <w:tab/>
      </w:r>
      <w:r w:rsidR="00F63274" w:rsidRPr="00085E12">
        <w:rPr>
          <w:rFonts w:ascii="Calibri" w:hAnsi="Calibri" w:cs="Arial"/>
          <w:b/>
          <w:i/>
          <w:color w:val="000000" w:themeColor="text1"/>
          <w:sz w:val="22"/>
          <w:szCs w:val="22"/>
        </w:rPr>
        <w:tab/>
      </w:r>
      <w:r w:rsidR="00082246">
        <w:rPr>
          <w:rFonts w:ascii="Calibri" w:hAnsi="Calibri" w:cs="Arial"/>
          <w:b/>
          <w:color w:val="000000" w:themeColor="text1"/>
          <w:sz w:val="22"/>
          <w:szCs w:val="22"/>
        </w:rPr>
        <w:t>Higher Executive Officer</w:t>
      </w:r>
    </w:p>
    <w:p w14:paraId="55A15152" w14:textId="6384DFCE" w:rsidR="00A171F1" w:rsidRPr="00085E12" w:rsidRDefault="00D8645F" w:rsidP="00E6233C">
      <w:pPr>
        <w:spacing w:line="360" w:lineRule="auto"/>
        <w:ind w:right="-32"/>
        <w:jc w:val="both"/>
        <w:rPr>
          <w:rFonts w:asciiTheme="minorHAnsi" w:hAnsiTheme="minorHAnsi"/>
          <w:b/>
          <w:color w:val="000000" w:themeColor="text1"/>
          <w:sz w:val="22"/>
          <w:szCs w:val="22"/>
        </w:rPr>
      </w:pPr>
      <w:r w:rsidRPr="00085E12">
        <w:rPr>
          <w:rFonts w:ascii="Calibri" w:hAnsi="Calibri" w:cs="Arial"/>
          <w:b/>
          <w:i/>
          <w:color w:val="000000" w:themeColor="text1"/>
          <w:sz w:val="22"/>
          <w:szCs w:val="22"/>
        </w:rPr>
        <w:t>Salary Scale</w:t>
      </w:r>
      <w:r w:rsidR="00CF7A81" w:rsidRPr="00085E12">
        <w:rPr>
          <w:rFonts w:ascii="Calibri" w:hAnsi="Calibri" w:cs="Arial"/>
          <w:b/>
          <w:i/>
          <w:color w:val="000000" w:themeColor="text1"/>
          <w:sz w:val="22"/>
          <w:szCs w:val="22"/>
        </w:rPr>
        <w:t>:</w:t>
      </w:r>
      <w:r w:rsidR="00F63274" w:rsidRPr="00085E12">
        <w:rPr>
          <w:rFonts w:ascii="Calibri" w:hAnsi="Calibri" w:cs="Arial"/>
          <w:b/>
          <w:i/>
          <w:color w:val="000000" w:themeColor="text1"/>
          <w:sz w:val="22"/>
          <w:szCs w:val="22"/>
        </w:rPr>
        <w:tab/>
      </w:r>
      <w:r w:rsidR="00373814" w:rsidRPr="00085E12">
        <w:rPr>
          <w:rFonts w:ascii="Calibri" w:hAnsi="Calibri" w:cs="Arial"/>
          <w:b/>
          <w:i/>
          <w:color w:val="000000" w:themeColor="text1"/>
          <w:sz w:val="22"/>
          <w:szCs w:val="22"/>
        </w:rPr>
        <w:tab/>
      </w:r>
      <w:r w:rsidR="00373814" w:rsidRPr="00085E12">
        <w:rPr>
          <w:rFonts w:asciiTheme="minorHAnsi" w:hAnsiTheme="minorHAnsi"/>
          <w:b/>
          <w:color w:val="000000" w:themeColor="text1"/>
          <w:sz w:val="22"/>
          <w:szCs w:val="22"/>
        </w:rPr>
        <w:tab/>
      </w:r>
      <w:r w:rsidR="00082246" w:rsidRPr="00421DA8">
        <w:rPr>
          <w:rFonts w:asciiTheme="minorHAnsi" w:hAnsiTheme="minorHAnsi"/>
          <w:b/>
          <w:color w:val="000000" w:themeColor="text1"/>
          <w:sz w:val="22"/>
          <w:szCs w:val="22"/>
        </w:rPr>
        <w:t>€49,845- €62,776</w:t>
      </w:r>
    </w:p>
    <w:p w14:paraId="28B99487" w14:textId="77777777" w:rsidR="00CA49BD" w:rsidRPr="00085E12" w:rsidRDefault="00A171F1" w:rsidP="00AC77C9">
      <w:pPr>
        <w:spacing w:line="360" w:lineRule="auto"/>
        <w:ind w:left="2880" w:right="-32"/>
        <w:jc w:val="both"/>
        <w:rPr>
          <w:rFonts w:ascii="Calibri" w:hAnsi="Calibri" w:cs="Arial"/>
          <w:color w:val="000000" w:themeColor="text1"/>
          <w:sz w:val="22"/>
          <w:szCs w:val="22"/>
          <w:lang w:val="en-IE"/>
        </w:rPr>
      </w:pPr>
      <w:r w:rsidRPr="00085E12">
        <w:rPr>
          <w:rFonts w:ascii="Calibri" w:hAnsi="Calibri" w:cs="Arial"/>
          <w:b/>
          <w:color w:val="000000" w:themeColor="text1"/>
          <w:sz w:val="22"/>
          <w:szCs w:val="22"/>
          <w:lang w:val="en-IE"/>
        </w:rPr>
        <w:t>Personal Pension Contribution (PPC) rate.</w:t>
      </w:r>
      <w:r w:rsidRPr="00085E12">
        <w:rPr>
          <w:rFonts w:ascii="Calibri" w:hAnsi="Calibri" w:cs="Arial"/>
          <w:color w:val="000000" w:themeColor="text1"/>
          <w:sz w:val="22"/>
          <w:szCs w:val="22"/>
          <w:lang w:val="en-IE"/>
        </w:rPr>
        <w:t xml:space="preserve">  </w:t>
      </w:r>
      <w:r w:rsidRPr="00085E12">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283BB6F" w14:textId="77777777" w:rsidR="007A1FEC" w:rsidRPr="00085E12" w:rsidRDefault="007A1FEC" w:rsidP="00E6233C">
      <w:pPr>
        <w:spacing w:line="360" w:lineRule="auto"/>
        <w:ind w:left="2880" w:right="-32"/>
        <w:jc w:val="both"/>
        <w:rPr>
          <w:rFonts w:asciiTheme="minorHAnsi" w:hAnsiTheme="minorHAnsi"/>
          <w:b/>
          <w:color w:val="000000" w:themeColor="text1"/>
          <w:sz w:val="22"/>
          <w:szCs w:val="22"/>
        </w:rPr>
      </w:pPr>
    </w:p>
    <w:p w14:paraId="581D5785" w14:textId="77777777" w:rsidR="00082246" w:rsidRDefault="00082246" w:rsidP="00082246">
      <w:pPr>
        <w:spacing w:line="360" w:lineRule="auto"/>
        <w:ind w:left="2880" w:right="-32"/>
        <w:jc w:val="both"/>
        <w:rPr>
          <w:rFonts w:asciiTheme="minorHAnsi" w:hAnsiTheme="minorHAnsi"/>
          <w:b/>
          <w:color w:val="000000" w:themeColor="text1"/>
          <w:sz w:val="22"/>
          <w:szCs w:val="22"/>
        </w:rPr>
      </w:pPr>
      <w:r w:rsidRPr="00421DA8">
        <w:rPr>
          <w:rFonts w:asciiTheme="minorHAnsi" w:hAnsiTheme="minorHAnsi"/>
          <w:b/>
          <w:color w:val="000000" w:themeColor="text1"/>
          <w:sz w:val="22"/>
          <w:szCs w:val="22"/>
        </w:rPr>
        <w:t>€47,447 - €59,727</w:t>
      </w:r>
      <w:r>
        <w:rPr>
          <w:rFonts w:asciiTheme="minorHAnsi" w:hAnsiTheme="minorHAnsi"/>
          <w:b/>
          <w:color w:val="000000" w:themeColor="text1"/>
          <w:sz w:val="22"/>
          <w:szCs w:val="22"/>
        </w:rPr>
        <w:t xml:space="preserve"> </w:t>
      </w:r>
    </w:p>
    <w:p w14:paraId="06FE215E" w14:textId="77777777" w:rsidR="008008DE" w:rsidRPr="00085E12" w:rsidRDefault="00A171F1" w:rsidP="00E6233C">
      <w:pPr>
        <w:spacing w:line="360" w:lineRule="auto"/>
        <w:ind w:left="2880" w:right="-32"/>
        <w:jc w:val="both"/>
        <w:rPr>
          <w:rFonts w:ascii="Calibri" w:hAnsi="Calibri" w:cs="Arial"/>
          <w:i/>
          <w:color w:val="000000" w:themeColor="text1"/>
          <w:sz w:val="22"/>
          <w:szCs w:val="22"/>
          <w:lang w:val="en-IE"/>
        </w:rPr>
      </w:pPr>
      <w:r w:rsidRPr="00085E12">
        <w:rPr>
          <w:rFonts w:ascii="Calibri" w:hAnsi="Calibri" w:cs="Arial"/>
          <w:b/>
          <w:color w:val="000000" w:themeColor="text1"/>
          <w:sz w:val="22"/>
          <w:szCs w:val="22"/>
          <w:lang w:val="en-IE"/>
        </w:rPr>
        <w:t>Non Personal Pension Contribution (non-PPC) rate.</w:t>
      </w:r>
      <w:r w:rsidRPr="00085E12">
        <w:rPr>
          <w:rFonts w:ascii="Calibri" w:hAnsi="Calibri" w:cs="Arial"/>
          <w:color w:val="000000" w:themeColor="text1"/>
          <w:sz w:val="22"/>
          <w:szCs w:val="22"/>
          <w:lang w:val="en-IE"/>
        </w:rPr>
        <w:t xml:space="preserve"> </w:t>
      </w:r>
      <w:r w:rsidRPr="00085E12">
        <w:rPr>
          <w:rFonts w:ascii="Calibri" w:hAnsi="Calibri" w:cs="Arial"/>
          <w:i/>
          <w:color w:val="000000" w:themeColor="text1"/>
          <w:sz w:val="22"/>
          <w:szCs w:val="22"/>
          <w:lang w:val="en-IE"/>
        </w:rPr>
        <w:t>This salary is payable to an individual who is not required to make a personal pension contribution (PP</w:t>
      </w:r>
      <w:r w:rsidR="00DE468C" w:rsidRPr="00085E12">
        <w:rPr>
          <w:rFonts w:ascii="Calibri" w:hAnsi="Calibri" w:cs="Arial"/>
          <w:i/>
          <w:color w:val="000000" w:themeColor="text1"/>
          <w:sz w:val="22"/>
          <w:szCs w:val="22"/>
          <w:lang w:val="en-IE"/>
        </w:rPr>
        <w:t>C) to their main pension scheme.</w:t>
      </w:r>
    </w:p>
    <w:p w14:paraId="5E52C832" w14:textId="77777777" w:rsidR="000C4777" w:rsidRPr="00085E12" w:rsidRDefault="000C4777" w:rsidP="00E6233C">
      <w:pPr>
        <w:spacing w:line="360" w:lineRule="auto"/>
        <w:ind w:left="2880" w:right="-32"/>
        <w:jc w:val="both"/>
        <w:rPr>
          <w:rFonts w:ascii="Calibri" w:hAnsi="Calibri" w:cs="Arial"/>
          <w:b/>
          <w:i/>
          <w:color w:val="000000" w:themeColor="text1"/>
          <w:sz w:val="22"/>
          <w:szCs w:val="22"/>
        </w:rPr>
      </w:pPr>
    </w:p>
    <w:p w14:paraId="28D71715" w14:textId="303517C7" w:rsidR="00355A1C" w:rsidRDefault="001D45B9" w:rsidP="00E6233C">
      <w:pPr>
        <w:spacing w:line="360" w:lineRule="auto"/>
        <w:ind w:left="2880" w:right="-32" w:hanging="2880"/>
        <w:jc w:val="both"/>
        <w:rPr>
          <w:rFonts w:ascii="Calibri" w:hAnsi="Calibri" w:cs="Arial"/>
          <w:color w:val="000000" w:themeColor="text1"/>
          <w:sz w:val="22"/>
          <w:szCs w:val="22"/>
        </w:rPr>
      </w:pPr>
      <w:r w:rsidRPr="00085E12">
        <w:rPr>
          <w:rFonts w:ascii="Calibri" w:hAnsi="Calibri" w:cs="Arial"/>
          <w:b/>
          <w:i/>
          <w:color w:val="000000" w:themeColor="text1"/>
          <w:sz w:val="22"/>
          <w:szCs w:val="22"/>
        </w:rPr>
        <w:t>Annual Leave</w:t>
      </w:r>
      <w:r w:rsidR="007469D5" w:rsidRPr="00085E12">
        <w:rPr>
          <w:rFonts w:ascii="Calibri" w:hAnsi="Calibri" w:cs="Arial"/>
          <w:b/>
          <w:i/>
          <w:color w:val="000000" w:themeColor="text1"/>
          <w:sz w:val="22"/>
          <w:szCs w:val="22"/>
        </w:rPr>
        <w:t>:</w:t>
      </w:r>
      <w:r w:rsidRPr="00085E12">
        <w:rPr>
          <w:rFonts w:ascii="Calibri" w:hAnsi="Calibri" w:cs="Arial"/>
          <w:b/>
          <w:i/>
          <w:color w:val="000000" w:themeColor="text1"/>
          <w:sz w:val="22"/>
          <w:szCs w:val="22"/>
        </w:rPr>
        <w:tab/>
      </w:r>
      <w:r w:rsidR="00085E12" w:rsidRPr="00085E12">
        <w:rPr>
          <w:rFonts w:ascii="Calibri" w:hAnsi="Calibri" w:cs="Arial"/>
          <w:color w:val="000000" w:themeColor="text1"/>
          <w:sz w:val="22"/>
          <w:szCs w:val="22"/>
        </w:rPr>
        <w:t>29</w:t>
      </w:r>
      <w:r w:rsidR="002332B4" w:rsidRPr="00085E12">
        <w:rPr>
          <w:rFonts w:ascii="Calibri" w:hAnsi="Calibri" w:cs="Arial"/>
          <w:color w:val="000000" w:themeColor="text1"/>
          <w:sz w:val="22"/>
          <w:szCs w:val="22"/>
        </w:rPr>
        <w:t xml:space="preserve"> </w:t>
      </w:r>
      <w:r w:rsidRPr="00085E12">
        <w:rPr>
          <w:rFonts w:ascii="Calibri" w:hAnsi="Calibri" w:cs="Arial"/>
          <w:color w:val="000000" w:themeColor="text1"/>
          <w:sz w:val="22"/>
          <w:szCs w:val="22"/>
        </w:rPr>
        <w:t>days per annum.</w:t>
      </w:r>
      <w:r w:rsidRPr="00DC4826">
        <w:rPr>
          <w:rFonts w:ascii="Calibri" w:hAnsi="Calibri" w:cs="Arial"/>
          <w:color w:val="000000" w:themeColor="text1"/>
          <w:sz w:val="22"/>
          <w:szCs w:val="22"/>
        </w:rPr>
        <w:t xml:space="preserve"> This leave is on the basis of a five day week and is exclusiv</w:t>
      </w:r>
      <w:r w:rsidR="000C4777" w:rsidRPr="00DC4826">
        <w:rPr>
          <w:rFonts w:ascii="Calibri" w:hAnsi="Calibri" w:cs="Arial"/>
          <w:color w:val="000000" w:themeColor="text1"/>
          <w:sz w:val="22"/>
          <w:szCs w:val="22"/>
        </w:rPr>
        <w:t>e of the usual public holidays.</w:t>
      </w:r>
    </w:p>
    <w:p w14:paraId="5E9D5034"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541AB0FB"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1F048213"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0AFED42B" w14:textId="77777777"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D1E311D" w14:textId="77777777" w:rsidR="00DF3EFB" w:rsidRDefault="00DF3EFB" w:rsidP="00E6233C">
      <w:pPr>
        <w:spacing w:line="360" w:lineRule="auto"/>
        <w:ind w:right="-32"/>
        <w:jc w:val="both"/>
        <w:rPr>
          <w:rFonts w:ascii="Calibri" w:hAnsi="Calibri" w:cs="Arial"/>
          <w:b/>
          <w:i/>
          <w:color w:val="000000" w:themeColor="text1"/>
          <w:sz w:val="22"/>
          <w:szCs w:val="22"/>
        </w:rPr>
      </w:pPr>
    </w:p>
    <w:p w14:paraId="3A4F07EB"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04EF88E2" w14:textId="77777777" w:rsidR="00E45D09" w:rsidRDefault="00E45D09" w:rsidP="00E6233C">
      <w:pPr>
        <w:spacing w:line="360" w:lineRule="auto"/>
        <w:ind w:right="-32"/>
        <w:rPr>
          <w:rFonts w:ascii="Calibri" w:hAnsi="Calibri" w:cs="Arial"/>
          <w:color w:val="000000" w:themeColor="text1"/>
          <w:sz w:val="22"/>
          <w:szCs w:val="22"/>
        </w:rPr>
      </w:pPr>
    </w:p>
    <w:p w14:paraId="7462F6A7" w14:textId="77777777"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39D597C" w14:textId="77777777" w:rsidR="00D87F60" w:rsidRDefault="00D87F60" w:rsidP="00E6233C">
      <w:pPr>
        <w:spacing w:line="360" w:lineRule="auto"/>
        <w:ind w:left="2127" w:right="-32" w:hanging="2127"/>
        <w:jc w:val="both"/>
      </w:pPr>
    </w:p>
    <w:p w14:paraId="167EA46B" w14:textId="77777777"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13766375"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FD23707"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7E95D1DE"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w:t>
      </w:r>
      <w:r w:rsidRPr="00DC4826">
        <w:rPr>
          <w:rFonts w:ascii="Calibri" w:hAnsi="Calibri" w:cs="Arial"/>
          <w:iCs/>
          <w:color w:val="000000" w:themeColor="text1"/>
          <w:sz w:val="22"/>
          <w:szCs w:val="22"/>
        </w:rPr>
        <w:lastRenderedPageBreak/>
        <w:t>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54A1390B" w14:textId="77777777" w:rsidR="001606F2" w:rsidRPr="00950BE1" w:rsidRDefault="004F4230"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48163D87" w14:textId="77777777"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1843386A" w14:textId="77777777"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65D80236"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2AD9CB4D" w14:textId="7777777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00592237" w14:textId="1EAA553F"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w:t>
      </w:r>
      <w:r w:rsidR="007733DC">
        <w:rPr>
          <w:rFonts w:asciiTheme="minorHAnsi" w:hAnsiTheme="minorHAnsi" w:cstheme="minorHAnsi"/>
          <w:color w:val="000000" w:themeColor="text1"/>
          <w:sz w:val="22"/>
          <w:szCs w:val="22"/>
        </w:rPr>
        <w:t xml:space="preserve">to </w:t>
      </w:r>
      <w:r w:rsidR="007733DC" w:rsidRPr="004F4230">
        <w:rPr>
          <w:rFonts w:asciiTheme="minorHAnsi" w:hAnsiTheme="minorHAnsi" w:cstheme="minorHAnsi"/>
          <w:b/>
          <w:sz w:val="22"/>
          <w:szCs w:val="22"/>
        </w:rPr>
        <w:t>ntacareers@rsmireland.ie</w:t>
      </w:r>
      <w:r w:rsidR="00470E68">
        <w:rPr>
          <w:rFonts w:ascii="Calibri" w:hAnsi="Calibri" w:cs="Arial"/>
          <w:b/>
          <w:smallCaps/>
          <w:color w:val="000000" w:themeColor="text1"/>
          <w:sz w:val="22"/>
          <w:szCs w:val="22"/>
          <w:lang w:val="en-IE"/>
        </w:rPr>
        <w:t xml:space="preserve"> </w:t>
      </w:r>
      <w:r w:rsidRPr="002332B4">
        <w:rPr>
          <w:rFonts w:asciiTheme="minorHAnsi" w:hAnsiTheme="minorHAnsi" w:cstheme="minorHAnsi"/>
          <w:color w:val="000000" w:themeColor="text1"/>
          <w:sz w:val="22"/>
          <w:szCs w:val="22"/>
        </w:rPr>
        <w:t>with the following:</w:t>
      </w:r>
    </w:p>
    <w:p w14:paraId="76825844"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01812311" w14:textId="6E849B3F"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085E12">
        <w:rPr>
          <w:rFonts w:ascii="Calibri" w:hAnsi="Calibri" w:cs="Arial"/>
          <w:color w:val="000000" w:themeColor="text1"/>
          <w:sz w:val="22"/>
          <w:szCs w:val="22"/>
        </w:rPr>
        <w:t>Senior Public Transport Regulation Analyst</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522AF680"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53F7699"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EB5B8AD" w14:textId="77777777" w:rsidR="004433F2" w:rsidRPr="00B900DD" w:rsidRDefault="004433F2" w:rsidP="00E6233C">
      <w:pPr>
        <w:spacing w:line="360" w:lineRule="auto"/>
        <w:ind w:right="-32"/>
        <w:jc w:val="both"/>
        <w:rPr>
          <w:rFonts w:ascii="Calibri" w:hAnsi="Calibri" w:cs="Arial"/>
          <w:bCs/>
          <w:color w:val="000000" w:themeColor="text1"/>
          <w:sz w:val="22"/>
          <w:szCs w:val="22"/>
        </w:rPr>
      </w:pPr>
    </w:p>
    <w:p w14:paraId="1C7AB0AC" w14:textId="77777777"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29D878A6" w14:textId="77777777"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70993AB0" w14:textId="77777777"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416D6F98" w14:textId="7BA4E1FE"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085E12">
        <w:rPr>
          <w:rFonts w:ascii="Calibri" w:hAnsi="Calibri" w:cs="Arial"/>
          <w:b/>
          <w:color w:val="000000" w:themeColor="text1"/>
          <w:sz w:val="22"/>
          <w:szCs w:val="22"/>
        </w:rPr>
        <w:t>Friday 24</w:t>
      </w:r>
      <w:r w:rsidR="00085E12" w:rsidRPr="00085E12">
        <w:rPr>
          <w:rFonts w:ascii="Calibri" w:hAnsi="Calibri" w:cs="Arial"/>
          <w:b/>
          <w:color w:val="000000" w:themeColor="text1"/>
          <w:sz w:val="22"/>
          <w:szCs w:val="22"/>
          <w:vertAlign w:val="superscript"/>
        </w:rPr>
        <w:t>th</w:t>
      </w:r>
      <w:r w:rsidR="00085E12">
        <w:rPr>
          <w:rFonts w:ascii="Calibri" w:hAnsi="Calibri" w:cs="Arial"/>
          <w:b/>
          <w:color w:val="000000" w:themeColor="text1"/>
          <w:sz w:val="22"/>
          <w:szCs w:val="22"/>
        </w:rPr>
        <w:t xml:space="preserve"> September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E5EE539"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398C8EBA" w14:textId="03515E80"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7733DC" w:rsidRPr="004F4230">
        <w:rPr>
          <w:rFonts w:asciiTheme="minorHAnsi" w:hAnsiTheme="minorHAnsi" w:cstheme="minorHAnsi"/>
          <w:b/>
          <w:i/>
          <w:sz w:val="22"/>
          <w:szCs w:val="22"/>
        </w:rPr>
        <w:t>ntacareers@rsmireland.ie</w:t>
      </w:r>
      <w:r w:rsidR="004F4230">
        <w:rPr>
          <w:rFonts w:asciiTheme="minorHAnsi" w:hAnsiTheme="minorHAnsi" w:cstheme="minorHAnsi"/>
          <w:i/>
          <w:sz w:val="22"/>
          <w:szCs w:val="22"/>
        </w:rPr>
        <w:t>.</w:t>
      </w:r>
      <w:r w:rsidR="007733DC" w:rsidRPr="00470E68">
        <w:rPr>
          <w:rFonts w:ascii="Calibri" w:hAnsi="Calibri" w:cs="Arial"/>
          <w:b/>
          <w:i/>
          <w:smallCaps/>
          <w:color w:val="000000" w:themeColor="text1"/>
          <w:sz w:val="22"/>
          <w:szCs w:val="22"/>
          <w:lang w:val="en-IE"/>
        </w:rPr>
        <w:t xml:space="preserve"> </w:t>
      </w:r>
    </w:p>
    <w:p w14:paraId="604C594C"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710504E1" w14:textId="18A24393" w:rsidR="007A1FEC" w:rsidRPr="006E145A" w:rsidRDefault="00505742" w:rsidP="00FF69BE">
      <w:pPr>
        <w:spacing w:line="360" w:lineRule="auto"/>
        <w:ind w:right="-32"/>
        <w:jc w:val="both"/>
        <w:rPr>
          <w:rFonts w:asciiTheme="minorHAnsi" w:hAnsiTheme="minorHAnsi" w:cs="Arial"/>
          <w:b/>
          <w:smallCaps/>
          <w:lang w:val="en-IE"/>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7733DC" w:rsidRPr="004F4230">
        <w:rPr>
          <w:rFonts w:asciiTheme="minorHAnsi" w:hAnsiTheme="minorHAnsi" w:cstheme="minorHAnsi"/>
          <w:b/>
          <w:sz w:val="22"/>
          <w:szCs w:val="22"/>
        </w:rPr>
        <w:t>ntacareers@rsmireland.ie</w:t>
      </w:r>
      <w:r w:rsidR="00F67F91" w:rsidRPr="004F4230">
        <w:rPr>
          <w:rFonts w:asciiTheme="minorHAnsi" w:hAnsiTheme="minorHAnsi" w:cs="Arial"/>
          <w:b/>
          <w:smallCaps/>
          <w:lang w:val="en-IE"/>
        </w:rPr>
        <w:t>.</w:t>
      </w:r>
    </w:p>
    <w:p w14:paraId="68992B7D" w14:textId="77777777" w:rsidR="0011621D" w:rsidRDefault="0011621D" w:rsidP="00E6233C">
      <w:pPr>
        <w:spacing w:line="360" w:lineRule="auto"/>
        <w:ind w:right="-32"/>
        <w:rPr>
          <w:rFonts w:ascii="Calibri" w:hAnsi="Calibri" w:cs="Arial"/>
          <w:b/>
          <w:i/>
          <w:color w:val="000000" w:themeColor="text1"/>
          <w:sz w:val="22"/>
          <w:szCs w:val="22"/>
          <w:u w:val="single"/>
        </w:rPr>
      </w:pPr>
    </w:p>
    <w:p w14:paraId="73B45E9F" w14:textId="7044BF30" w:rsidR="00621545" w:rsidRPr="00DC4826"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699EE7FB" w14:textId="77777777"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0366985"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127AC4EC"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Shortlisting of candidates on the basis of the information contained in their application;</w:t>
      </w:r>
    </w:p>
    <w:p w14:paraId="0AE14EA8"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00932A0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28BEE07F"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3DB73F34"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3A0095C8"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437EDA65"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748D2C21"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6E2ED37"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2AB3414E"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39DD1D8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72C1EBB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147C2C50"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ABCBD5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35B7DED6"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69EC8EE2"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33325775"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2D51F7CD"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3C9C3436"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4F8BD30F" w14:textId="77777777"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422CBF50" w14:textId="77777777"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49B44A3C"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2490C866"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6164BA68" w14:textId="77777777"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70502150"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4D1AEBBA" w14:textId="77777777"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1CD22D8B"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4629E159" w14:textId="77777777"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4FB6E17B" w14:textId="77777777"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5F516D5" w14:textId="77777777"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1679B97B"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6CD5DD4"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F95660F" w14:textId="20285977"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7733DC" w:rsidRPr="007733DC">
        <w:rPr>
          <w:rFonts w:asciiTheme="minorHAnsi" w:hAnsiTheme="minorHAnsi" w:cstheme="minorHAnsi"/>
          <w:b/>
          <w:bCs/>
          <w:sz w:val="22"/>
          <w:szCs w:val="22"/>
        </w:rPr>
        <w:t>ntacareers@rsm</w:t>
      </w:r>
      <w:bookmarkStart w:id="0" w:name="_GoBack"/>
      <w:bookmarkEnd w:id="0"/>
      <w:r w:rsidR="007733DC" w:rsidRPr="007733DC">
        <w:rPr>
          <w:rFonts w:asciiTheme="minorHAnsi" w:hAnsiTheme="minorHAnsi" w:cstheme="minorHAnsi"/>
          <w:b/>
          <w:bCs/>
          <w:sz w:val="22"/>
          <w:szCs w:val="22"/>
        </w:rPr>
        <w:t>ireland.ie</w:t>
      </w:r>
      <w:r w:rsidR="00F67F91" w:rsidRPr="006E145A">
        <w:rPr>
          <w:rFonts w:asciiTheme="minorHAnsi" w:hAnsiTheme="minorHAnsi" w:cs="Arial"/>
          <w:b/>
          <w:smallCaps/>
          <w:lang w:val="en-IE"/>
        </w:rPr>
        <w:t>.</w:t>
      </w:r>
    </w:p>
    <w:p w14:paraId="41791156" w14:textId="77777777" w:rsidR="00A76FB6" w:rsidRDefault="00A76FB6" w:rsidP="00E6233C">
      <w:pPr>
        <w:spacing w:line="360" w:lineRule="auto"/>
        <w:ind w:right="-32"/>
        <w:rPr>
          <w:rFonts w:ascii="Calibri" w:hAnsi="Calibri" w:cs="Arial"/>
          <w:b/>
          <w:color w:val="000000" w:themeColor="text1"/>
          <w:sz w:val="22"/>
          <w:szCs w:val="22"/>
        </w:rPr>
      </w:pPr>
    </w:p>
    <w:p w14:paraId="5C9AD972" w14:textId="77777777" w:rsidR="00250AE6" w:rsidRDefault="00250AE6" w:rsidP="00E6233C">
      <w:pPr>
        <w:spacing w:line="360" w:lineRule="auto"/>
        <w:ind w:right="-32"/>
        <w:rPr>
          <w:rFonts w:ascii="Calibri" w:eastAsia="Calibri" w:hAnsi="Calibri" w:cs="Arial"/>
          <w:b/>
          <w:color w:val="000000" w:themeColor="text1"/>
          <w:sz w:val="32"/>
          <w:szCs w:val="32"/>
          <w:lang w:val="en-IE"/>
        </w:rPr>
      </w:pPr>
    </w:p>
    <w:p w14:paraId="3B94D603" w14:textId="77777777"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41253C84" w14:textId="5972C83A" w:rsidR="00085E12" w:rsidRDefault="00085E12" w:rsidP="00085E12">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 xml:space="preserve">Senior Public Transport Regulation Analyst - </w:t>
      </w:r>
      <w:r w:rsidRPr="005B6C24">
        <w:rPr>
          <w:rFonts w:ascii="Calibri" w:eastAsia="Calibri" w:hAnsi="Calibri" w:cs="Arial"/>
          <w:b/>
          <w:color w:val="000000" w:themeColor="text1"/>
          <w:sz w:val="32"/>
          <w:szCs w:val="32"/>
          <w:lang w:val="en-IE"/>
        </w:rPr>
        <w:t>Key Competencies</w:t>
      </w:r>
    </w:p>
    <w:tbl>
      <w:tblPr>
        <w:tblStyle w:val="TableGrid"/>
        <w:tblW w:w="10495" w:type="dxa"/>
        <w:tblInd w:w="-719" w:type="dxa"/>
        <w:tblLook w:val="04A0" w:firstRow="1" w:lastRow="0" w:firstColumn="1" w:lastColumn="0" w:noHBand="0" w:noVBand="1"/>
      </w:tblPr>
      <w:tblGrid>
        <w:gridCol w:w="1844"/>
        <w:gridCol w:w="8651"/>
      </w:tblGrid>
      <w:tr w:rsidR="006E145A" w14:paraId="07A92101" w14:textId="77777777" w:rsidTr="006E145A">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ABF8F" w:themeFill="accent6" w:themeFillTint="99"/>
            <w:hideMark/>
          </w:tcPr>
          <w:p w14:paraId="128D932A" w14:textId="77777777" w:rsidR="006E145A" w:rsidRDefault="006E145A" w:rsidP="004A1595">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5C536DD3"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6E145A" w14:paraId="0FB3DD09" w14:textId="77777777" w:rsidTr="006E145A">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E63E5AC" w14:textId="77777777" w:rsidR="006E145A" w:rsidRDefault="006E145A" w:rsidP="004A1595">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96EEE2B"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6E145A" w14:paraId="4DC97D86" w14:textId="77777777" w:rsidTr="006E145A">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02336DF4" w14:textId="77777777" w:rsidR="006E145A" w:rsidRDefault="006E145A" w:rsidP="004A1595">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0A0DC84A"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6E145A" w14:paraId="6A5A20DA" w14:textId="77777777" w:rsidTr="006E145A">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45E168D1" w14:textId="77777777" w:rsidR="006E145A" w:rsidRDefault="006E145A" w:rsidP="004A1595">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37F0119"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6E145A" w14:paraId="5562ED65" w14:textId="77777777" w:rsidTr="006E145A">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1EAB464E" w14:textId="77777777" w:rsidR="006E145A" w:rsidRDefault="006E145A" w:rsidP="004A1595">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2BB4E286"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6E145A" w14:paraId="7779E4CB" w14:textId="77777777" w:rsidTr="006E145A">
        <w:trPr>
          <w:trHeight w:val="21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4F3A16CE" w14:textId="77777777" w:rsidR="006E145A" w:rsidRDefault="006E145A" w:rsidP="004A1595">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0289B1E2" w14:textId="77777777" w:rsidR="006E145A" w:rsidRDefault="006E145A" w:rsidP="004A1595">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085E12" w:rsidRPr="00F85551" w14:paraId="5B2D07F5" w14:textId="77777777" w:rsidTr="006E145A">
        <w:tc>
          <w:tcPr>
            <w:tcW w:w="1843" w:type="dxa"/>
            <w:vMerge w:val="restart"/>
            <w:tcBorders>
              <w:top w:val="nil"/>
              <w:left w:val="single" w:sz="4" w:space="0" w:color="FFFFFF" w:themeColor="background1"/>
              <w:right w:val="single" w:sz="4" w:space="0" w:color="FFFFFF" w:themeColor="background1"/>
            </w:tcBorders>
            <w:shd w:val="clear" w:color="auto" w:fill="95B3D7" w:themeFill="accent1" w:themeFillTint="99"/>
          </w:tcPr>
          <w:p w14:paraId="4C8F6D91"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bookmarkStart w:id="1" w:name="_Hlk75438988"/>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356B36CF" w14:textId="77777777" w:rsidR="00085E12" w:rsidRPr="005559E2"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Gathers and analyses information from relevant sources, whether financial, numerical or otherwise weighing up</w:t>
            </w:r>
          </w:p>
          <w:p w14:paraId="6D226296"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a range of critical factors</w:t>
            </w:r>
          </w:p>
        </w:tc>
      </w:tr>
      <w:tr w:rsidR="00085E12" w:rsidRPr="00F85551" w14:paraId="7A88DA7E" w14:textId="77777777" w:rsidTr="006E145A">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69971865"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48FC516"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5559E2">
              <w:rPr>
                <w:rFonts w:ascii="Calibri" w:eastAsia="Calibri" w:hAnsi="Calibri" w:cs="Arial"/>
                <w:color w:val="000000" w:themeColor="text1"/>
                <w:sz w:val="17"/>
                <w:szCs w:val="17"/>
              </w:rPr>
              <w:t>Takes account of any broader issues and related implications when making decisions</w:t>
            </w:r>
          </w:p>
        </w:tc>
      </w:tr>
      <w:tr w:rsidR="00085E12" w:rsidRPr="00F85551" w14:paraId="59291618" w14:textId="77777777" w:rsidTr="006E145A">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6F331D7D"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6FF3F38"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Uses previous knowledge and experience in order to guide decisions</w:t>
            </w:r>
          </w:p>
        </w:tc>
      </w:tr>
      <w:tr w:rsidR="00085E12" w:rsidRPr="00F85551" w14:paraId="5B863B82" w14:textId="77777777" w:rsidTr="006E145A">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18416CE4"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0FB15F6"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Makes sound decisions with a well reasoned rationale and stands by these</w:t>
            </w:r>
          </w:p>
        </w:tc>
      </w:tr>
      <w:tr w:rsidR="00085E12" w:rsidRPr="00F85551" w14:paraId="55395EFA" w14:textId="77777777" w:rsidTr="006E145A">
        <w:tc>
          <w:tcPr>
            <w:tcW w:w="1843" w:type="dxa"/>
            <w:vMerge/>
            <w:tcBorders>
              <w:left w:val="single" w:sz="4" w:space="0" w:color="FFFFFF" w:themeColor="background1"/>
              <w:bottom w:val="nil"/>
              <w:right w:val="single" w:sz="4" w:space="0" w:color="FFFFFF" w:themeColor="background1"/>
            </w:tcBorders>
            <w:shd w:val="clear" w:color="auto" w:fill="95B3D7" w:themeFill="accent1" w:themeFillTint="99"/>
          </w:tcPr>
          <w:p w14:paraId="47A5CC75"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3EA1835D"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Puts forward solutions to address problems</w:t>
            </w:r>
          </w:p>
        </w:tc>
      </w:tr>
      <w:tr w:rsidR="00085E12" w:rsidRPr="00F85551" w14:paraId="2F1A3A44" w14:textId="77777777" w:rsidTr="006E145A">
        <w:tc>
          <w:tcPr>
            <w:tcW w:w="1843" w:type="dxa"/>
            <w:vMerge w:val="restart"/>
            <w:tcBorders>
              <w:top w:val="nil"/>
              <w:left w:val="nil"/>
              <w:right w:val="nil"/>
            </w:tcBorders>
            <w:shd w:val="clear" w:color="auto" w:fill="D99594" w:themeFill="accent2" w:themeFillTint="99"/>
          </w:tcPr>
          <w:p w14:paraId="14FD6EA5"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Management &amp; </w:t>
            </w:r>
            <w:r w:rsidRPr="00F36A9A">
              <w:rPr>
                <w:rFonts w:ascii="Calibri" w:eastAsia="Calibri" w:hAnsi="Calibri" w:cs="Arial"/>
                <w:b/>
                <w:color w:val="FFFFFF" w:themeColor="background1"/>
                <w:szCs w:val="32"/>
              </w:rPr>
              <w:t>Delivery of Results</w:t>
            </w:r>
          </w:p>
        </w:tc>
        <w:tc>
          <w:tcPr>
            <w:tcW w:w="8647" w:type="dxa"/>
            <w:tcBorders>
              <w:top w:val="single" w:sz="4" w:space="0" w:color="FFFFFF"/>
              <w:left w:val="nil"/>
              <w:bottom w:val="single" w:sz="4" w:space="0" w:color="D99594" w:themeColor="accent2" w:themeTint="99"/>
              <w:right w:val="single" w:sz="4" w:space="0" w:color="FFFFFF"/>
            </w:tcBorders>
            <w:shd w:val="clear" w:color="auto" w:fill="F2DBDB" w:themeFill="accent2" w:themeFillTint="33"/>
          </w:tcPr>
          <w:p w14:paraId="598A70E7"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Takes responsibility and is accountable for the delivery of agreed objectives</w:t>
            </w:r>
          </w:p>
        </w:tc>
      </w:tr>
      <w:tr w:rsidR="00085E12" w:rsidRPr="00F85551" w14:paraId="3C46F479" w14:textId="77777777" w:rsidTr="006E145A">
        <w:tc>
          <w:tcPr>
            <w:tcW w:w="1843" w:type="dxa"/>
            <w:vMerge/>
            <w:tcBorders>
              <w:left w:val="nil"/>
              <w:right w:val="nil"/>
            </w:tcBorders>
            <w:shd w:val="clear" w:color="auto" w:fill="D99594" w:themeFill="accent2" w:themeFillTint="99"/>
          </w:tcPr>
          <w:p w14:paraId="1C3A0F35"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7A66292F"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Successfully manages a range of different projects and work activities at the same time</w:t>
            </w:r>
          </w:p>
        </w:tc>
      </w:tr>
      <w:tr w:rsidR="00085E12" w:rsidRPr="00F85551" w14:paraId="74C45A3B" w14:textId="77777777" w:rsidTr="006E145A">
        <w:tc>
          <w:tcPr>
            <w:tcW w:w="1843" w:type="dxa"/>
            <w:vMerge/>
            <w:tcBorders>
              <w:left w:val="nil"/>
              <w:right w:val="nil"/>
            </w:tcBorders>
            <w:shd w:val="clear" w:color="auto" w:fill="D99594" w:themeFill="accent2" w:themeFillTint="99"/>
          </w:tcPr>
          <w:p w14:paraId="091D9E4D"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504EA95E"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Structures and organises their own and others work effectively</w:t>
            </w:r>
          </w:p>
        </w:tc>
      </w:tr>
      <w:tr w:rsidR="00085E12" w:rsidRPr="00F85551" w14:paraId="4FCD7ABC" w14:textId="77777777" w:rsidTr="006E145A">
        <w:tc>
          <w:tcPr>
            <w:tcW w:w="1843" w:type="dxa"/>
            <w:vMerge/>
            <w:tcBorders>
              <w:left w:val="nil"/>
              <w:right w:val="nil"/>
            </w:tcBorders>
            <w:shd w:val="clear" w:color="auto" w:fill="D99594" w:themeFill="accent2" w:themeFillTint="99"/>
          </w:tcPr>
          <w:p w14:paraId="2BC67688"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77BE04DD" w14:textId="77777777" w:rsidR="00085E12" w:rsidRPr="00C9755E"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Is logical and pragmatic in approach, delivering the best possible results with the resources available</w:t>
            </w:r>
          </w:p>
        </w:tc>
      </w:tr>
      <w:tr w:rsidR="00085E12" w:rsidRPr="00F85551" w14:paraId="5FB7438B" w14:textId="77777777" w:rsidTr="006E145A">
        <w:tc>
          <w:tcPr>
            <w:tcW w:w="1843" w:type="dxa"/>
            <w:vMerge/>
            <w:tcBorders>
              <w:left w:val="nil"/>
              <w:right w:val="nil"/>
            </w:tcBorders>
            <w:shd w:val="clear" w:color="auto" w:fill="D99594" w:themeFill="accent2" w:themeFillTint="99"/>
          </w:tcPr>
          <w:p w14:paraId="18EA603B"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727A7A6B"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Delegates work effectively, providing clear information and evidence as to what is required</w:t>
            </w:r>
          </w:p>
        </w:tc>
      </w:tr>
      <w:tr w:rsidR="00085E12" w:rsidRPr="00F85551" w14:paraId="4B3DE531" w14:textId="77777777" w:rsidTr="006E145A">
        <w:tc>
          <w:tcPr>
            <w:tcW w:w="1843" w:type="dxa"/>
            <w:vMerge/>
            <w:tcBorders>
              <w:left w:val="nil"/>
              <w:right w:val="nil"/>
            </w:tcBorders>
            <w:shd w:val="clear" w:color="auto" w:fill="D99594" w:themeFill="accent2" w:themeFillTint="99"/>
          </w:tcPr>
          <w:p w14:paraId="14A72243"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D99594" w:themeColor="accent2" w:themeTint="99"/>
              <w:right w:val="single" w:sz="4" w:space="0" w:color="FFFFFF"/>
            </w:tcBorders>
            <w:shd w:val="clear" w:color="auto" w:fill="F2DBDB" w:themeFill="accent2" w:themeFillTint="33"/>
          </w:tcPr>
          <w:p w14:paraId="6ADA13FE"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Proactively identifies areas for improvement and develops practical suggestions for their implementation</w:t>
            </w:r>
          </w:p>
        </w:tc>
      </w:tr>
      <w:tr w:rsidR="00085E12" w:rsidRPr="00F85551" w14:paraId="32D25966" w14:textId="77777777" w:rsidTr="006E145A">
        <w:tc>
          <w:tcPr>
            <w:tcW w:w="1843" w:type="dxa"/>
            <w:vMerge/>
            <w:tcBorders>
              <w:left w:val="nil"/>
              <w:right w:val="nil"/>
            </w:tcBorders>
            <w:shd w:val="clear" w:color="auto" w:fill="D99594" w:themeFill="accent2" w:themeFillTint="99"/>
          </w:tcPr>
          <w:p w14:paraId="208E74A0"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FFFFFF"/>
              <w:right w:val="single" w:sz="4" w:space="0" w:color="FFFFFF"/>
            </w:tcBorders>
            <w:shd w:val="clear" w:color="auto" w:fill="F2DBDB" w:themeFill="accent2" w:themeFillTint="33"/>
          </w:tcPr>
          <w:p w14:paraId="141CE037"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Demonstrates enthusiasm for new developments/changing work practices and strives to implement these</w:t>
            </w:r>
          </w:p>
        </w:tc>
      </w:tr>
      <w:tr w:rsidR="00085E12" w:rsidRPr="00F85551" w14:paraId="20F47061" w14:textId="77777777" w:rsidTr="006E145A">
        <w:tc>
          <w:tcPr>
            <w:tcW w:w="1843" w:type="dxa"/>
            <w:vMerge/>
            <w:tcBorders>
              <w:left w:val="nil"/>
              <w:right w:val="nil"/>
            </w:tcBorders>
            <w:shd w:val="clear" w:color="auto" w:fill="D99594" w:themeFill="accent2" w:themeFillTint="99"/>
          </w:tcPr>
          <w:p w14:paraId="4ABC7978"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nil"/>
              <w:bottom w:val="single" w:sz="4" w:space="0" w:color="FFFFFF"/>
              <w:right w:val="single" w:sz="4" w:space="0" w:color="FFFFFF"/>
            </w:tcBorders>
            <w:shd w:val="clear" w:color="auto" w:fill="F2DBDB" w:themeFill="accent2" w:themeFillTint="33"/>
          </w:tcPr>
          <w:p w14:paraId="3B8CBB26" w14:textId="77777777" w:rsidR="00085E12" w:rsidRPr="00C9755E"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Applies appropriate systems/ processes to enable quality checking of all activities and outputs</w:t>
            </w:r>
          </w:p>
        </w:tc>
      </w:tr>
      <w:tr w:rsidR="00085E12" w:rsidRPr="00F85551" w14:paraId="08EC9D0C" w14:textId="77777777" w:rsidTr="006E145A">
        <w:tc>
          <w:tcPr>
            <w:tcW w:w="1843" w:type="dxa"/>
            <w:vMerge/>
            <w:tcBorders>
              <w:left w:val="single" w:sz="4" w:space="0" w:color="FFFFFF" w:themeColor="background1"/>
              <w:bottom w:val="nil"/>
              <w:right w:val="single" w:sz="4" w:space="0" w:color="FFFFFF" w:themeColor="background1"/>
            </w:tcBorders>
            <w:shd w:val="clear" w:color="auto" w:fill="D99594" w:themeFill="accent2" w:themeFillTint="99"/>
          </w:tcPr>
          <w:p w14:paraId="5C880F54"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6AC0FE67" w14:textId="77777777" w:rsidR="00085E12" w:rsidRPr="00C9755E"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085E12" w:rsidRPr="00F85551" w14:paraId="5CF73D46" w14:textId="77777777" w:rsidTr="006E145A">
        <w:tc>
          <w:tcPr>
            <w:tcW w:w="1843" w:type="dxa"/>
            <w:vMerge w:val="restart"/>
            <w:tcBorders>
              <w:top w:val="nil"/>
              <w:left w:val="nil"/>
              <w:right w:val="nil"/>
            </w:tcBorders>
            <w:shd w:val="clear" w:color="auto" w:fill="92CDDC" w:themeFill="accent5" w:themeFillTint="99"/>
          </w:tcPr>
          <w:p w14:paraId="785190D9"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nil"/>
              <w:bottom w:val="single" w:sz="4" w:space="0" w:color="92CDDC" w:themeColor="accent5" w:themeTint="99"/>
              <w:right w:val="single" w:sz="4" w:space="0" w:color="FFFFFF"/>
            </w:tcBorders>
            <w:shd w:val="clear" w:color="auto" w:fill="DAEEF3" w:themeFill="accent5" w:themeFillTint="33"/>
          </w:tcPr>
          <w:p w14:paraId="6C2EDD93"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Builds and maintains contact with colleagues and other stakeholders to assist in performing role</w:t>
            </w:r>
          </w:p>
        </w:tc>
      </w:tr>
      <w:tr w:rsidR="00085E12" w:rsidRPr="00F85551" w14:paraId="2D197C35" w14:textId="77777777" w:rsidTr="006E145A">
        <w:tc>
          <w:tcPr>
            <w:tcW w:w="1843" w:type="dxa"/>
            <w:vMerge/>
            <w:tcBorders>
              <w:left w:val="nil"/>
              <w:right w:val="nil"/>
            </w:tcBorders>
            <w:shd w:val="clear" w:color="auto" w:fill="92CDDC" w:themeFill="accent5" w:themeFillTint="99"/>
          </w:tcPr>
          <w:p w14:paraId="13F67D6D"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72366DA6"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Acts as an effective link between staff and senior management</w:t>
            </w:r>
          </w:p>
        </w:tc>
      </w:tr>
      <w:tr w:rsidR="00085E12" w:rsidRPr="00F85551" w14:paraId="41C1DC54" w14:textId="77777777" w:rsidTr="006E145A">
        <w:tc>
          <w:tcPr>
            <w:tcW w:w="1843" w:type="dxa"/>
            <w:vMerge/>
            <w:tcBorders>
              <w:left w:val="nil"/>
              <w:right w:val="nil"/>
            </w:tcBorders>
            <w:shd w:val="clear" w:color="auto" w:fill="92CDDC" w:themeFill="accent5" w:themeFillTint="99"/>
          </w:tcPr>
          <w:p w14:paraId="45BEBD51"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4171B1E1"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Encourages open and constructive discussions around work issues</w:t>
            </w:r>
          </w:p>
        </w:tc>
      </w:tr>
      <w:tr w:rsidR="00085E12" w:rsidRPr="00F85551" w14:paraId="15E4CE69" w14:textId="77777777" w:rsidTr="006E145A">
        <w:tc>
          <w:tcPr>
            <w:tcW w:w="1843" w:type="dxa"/>
            <w:vMerge/>
            <w:tcBorders>
              <w:left w:val="nil"/>
              <w:bottom w:val="nil"/>
              <w:right w:val="nil"/>
            </w:tcBorders>
            <w:shd w:val="clear" w:color="auto" w:fill="92CDDC" w:themeFill="accent5" w:themeFillTint="99"/>
          </w:tcPr>
          <w:p w14:paraId="452E6951"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208B2A5C"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Projects conviction, gaining buy-in by outlining relevant information and selling the benefits</w:t>
            </w:r>
          </w:p>
        </w:tc>
      </w:tr>
      <w:tr w:rsidR="00085E12" w:rsidRPr="00F85551" w14:paraId="430F8011" w14:textId="77777777" w:rsidTr="006E145A">
        <w:tc>
          <w:tcPr>
            <w:tcW w:w="1843" w:type="dxa"/>
            <w:tcBorders>
              <w:top w:val="nil"/>
              <w:left w:val="nil"/>
              <w:bottom w:val="nil"/>
              <w:right w:val="nil"/>
            </w:tcBorders>
            <w:shd w:val="clear" w:color="auto" w:fill="92CDDC" w:themeFill="accent5" w:themeFillTint="99"/>
          </w:tcPr>
          <w:p w14:paraId="05CF5476"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7DE7DCD3"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Treats others with diplomacy, tact, courtesy and respect, even in challenging circumstances</w:t>
            </w:r>
          </w:p>
        </w:tc>
      </w:tr>
      <w:tr w:rsidR="00085E12" w:rsidRPr="00F85551" w14:paraId="13D05693" w14:textId="77777777" w:rsidTr="006E145A">
        <w:tc>
          <w:tcPr>
            <w:tcW w:w="1843" w:type="dxa"/>
            <w:tcBorders>
              <w:top w:val="nil"/>
              <w:left w:val="nil"/>
              <w:bottom w:val="nil"/>
              <w:right w:val="nil"/>
            </w:tcBorders>
            <w:shd w:val="clear" w:color="auto" w:fill="92CDDC" w:themeFill="accent5" w:themeFillTint="99"/>
          </w:tcPr>
          <w:p w14:paraId="44B0D7EE"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nil"/>
              <w:bottom w:val="single" w:sz="4" w:space="0" w:color="92CDDC" w:themeColor="accent5" w:themeTint="99"/>
              <w:right w:val="single" w:sz="4" w:space="0" w:color="FFFFFF"/>
            </w:tcBorders>
            <w:shd w:val="clear" w:color="auto" w:fill="DAEEF3" w:themeFill="accent5" w:themeFillTint="33"/>
          </w:tcPr>
          <w:p w14:paraId="4F589170"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Presents information clearly, concisely and confidently when speaking and in writing</w:t>
            </w:r>
          </w:p>
        </w:tc>
      </w:tr>
      <w:tr w:rsidR="00085E12" w:rsidRPr="00F85551" w14:paraId="0DAAB44D" w14:textId="77777777" w:rsidTr="006E145A">
        <w:trPr>
          <w:trHeight w:val="547"/>
        </w:trPr>
        <w:tc>
          <w:tcPr>
            <w:tcW w:w="1843" w:type="dxa"/>
            <w:vMerge w:val="restart"/>
            <w:tcBorders>
              <w:top w:val="nil"/>
              <w:left w:val="single" w:sz="4" w:space="0" w:color="FFFFFF"/>
              <w:right w:val="single" w:sz="4" w:space="0" w:color="FFFFFF"/>
            </w:tcBorders>
            <w:shd w:val="clear" w:color="auto" w:fill="C2D69B" w:themeFill="accent3" w:themeFillTint="99"/>
          </w:tcPr>
          <w:p w14:paraId="3A95F38F"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25AD8A98"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Has a clear understanding of the roles, objectives and targets of self and team and how they fit into the work of</w:t>
            </w:r>
            <w:r>
              <w:rPr>
                <w:rFonts w:ascii="Calibri" w:eastAsia="Calibri" w:hAnsi="Calibri" w:cs="Arial"/>
                <w:color w:val="000000" w:themeColor="text1"/>
                <w:sz w:val="17"/>
                <w:szCs w:val="17"/>
              </w:rPr>
              <w:t xml:space="preserve"> </w:t>
            </w:r>
            <w:r w:rsidRPr="00C9755E">
              <w:rPr>
                <w:rFonts w:ascii="Calibri" w:eastAsia="Calibri" w:hAnsi="Calibri" w:cs="Arial"/>
                <w:color w:val="000000" w:themeColor="text1"/>
                <w:sz w:val="17"/>
                <w:szCs w:val="17"/>
              </w:rPr>
              <w:t>the unit and Department/ Organisation and effectively communicates this to others</w:t>
            </w:r>
          </w:p>
        </w:tc>
      </w:tr>
      <w:tr w:rsidR="00085E12" w:rsidRPr="00F85551" w14:paraId="728A0AF2" w14:textId="77777777" w:rsidTr="006E145A">
        <w:trPr>
          <w:trHeight w:val="428"/>
        </w:trPr>
        <w:tc>
          <w:tcPr>
            <w:tcW w:w="1843" w:type="dxa"/>
            <w:vMerge/>
            <w:tcBorders>
              <w:left w:val="single" w:sz="4" w:space="0" w:color="FFFFFF"/>
              <w:right w:val="single" w:sz="4" w:space="0" w:color="FFFFFF"/>
            </w:tcBorders>
            <w:shd w:val="clear" w:color="auto" w:fill="C2D69B" w:themeFill="accent3" w:themeFillTint="99"/>
          </w:tcPr>
          <w:p w14:paraId="68D3A199"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19EB4A31"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Has high levels of expertise and broad Public Sector knowledge relevant to his/her area of work</w:t>
            </w:r>
          </w:p>
        </w:tc>
      </w:tr>
      <w:tr w:rsidR="00085E12" w:rsidRPr="00F85551" w14:paraId="53D52606" w14:textId="77777777" w:rsidTr="006E145A">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34D2DB41"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1832117A" w14:textId="77777777" w:rsidR="00085E12" w:rsidRPr="00C9755E"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 xml:space="preserve">Focuses on self development, striving to improve performance </w:t>
            </w:r>
          </w:p>
        </w:tc>
      </w:tr>
      <w:tr w:rsidR="00085E12" w:rsidRPr="00F85551" w14:paraId="3752D015" w14:textId="77777777" w:rsidTr="006E145A">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33209091" w14:textId="77777777" w:rsidR="00085E12" w:rsidRPr="00F36A9A" w:rsidRDefault="00085E12" w:rsidP="00816F8C">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0356E318"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Strives to perform at a high level, investing significant energy to achieve agreed objectives</w:t>
            </w:r>
          </w:p>
        </w:tc>
      </w:tr>
      <w:tr w:rsidR="00085E12" w:rsidRPr="00F85551" w14:paraId="04C5FE88" w14:textId="77777777" w:rsidTr="006E145A">
        <w:tc>
          <w:tcPr>
            <w:tcW w:w="1843" w:type="dxa"/>
            <w:vMerge/>
            <w:tcBorders>
              <w:left w:val="single" w:sz="4" w:space="0" w:color="FFFFFF"/>
              <w:right w:val="single" w:sz="4" w:space="0" w:color="FFFFFF"/>
            </w:tcBorders>
            <w:shd w:val="clear" w:color="auto" w:fill="B2A1C7" w:themeFill="accent4" w:themeFillTint="99"/>
          </w:tcPr>
          <w:p w14:paraId="7F059097" w14:textId="77777777" w:rsidR="00085E12" w:rsidRPr="00EE0729" w:rsidRDefault="00085E12" w:rsidP="00816F8C">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388DE54"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Demonstrates resilience in the face of challenging circumstances and high demands</w:t>
            </w:r>
          </w:p>
        </w:tc>
      </w:tr>
      <w:tr w:rsidR="00085E12" w:rsidRPr="00F85551" w14:paraId="47B822E6" w14:textId="77777777" w:rsidTr="006E145A">
        <w:tc>
          <w:tcPr>
            <w:tcW w:w="1843" w:type="dxa"/>
            <w:vMerge/>
            <w:tcBorders>
              <w:left w:val="single" w:sz="4" w:space="0" w:color="FFFFFF"/>
              <w:right w:val="single" w:sz="4" w:space="0" w:color="FFFFFF"/>
            </w:tcBorders>
            <w:shd w:val="clear" w:color="auto" w:fill="B2A1C7" w:themeFill="accent4" w:themeFillTint="99"/>
          </w:tcPr>
          <w:p w14:paraId="3AC25BDB" w14:textId="77777777" w:rsidR="00085E12" w:rsidRPr="00EE0729" w:rsidRDefault="00085E12" w:rsidP="00816F8C">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D4AC017"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Is personally trustworthy and can be relied upon</w:t>
            </w:r>
          </w:p>
        </w:tc>
      </w:tr>
      <w:tr w:rsidR="00085E12" w:rsidRPr="00F85551" w14:paraId="52D57604" w14:textId="77777777" w:rsidTr="006E145A">
        <w:tc>
          <w:tcPr>
            <w:tcW w:w="1843" w:type="dxa"/>
            <w:vMerge/>
            <w:tcBorders>
              <w:left w:val="single" w:sz="4" w:space="0" w:color="FFFFFF"/>
              <w:right w:val="single" w:sz="4" w:space="0" w:color="FFFFFF"/>
            </w:tcBorders>
            <w:shd w:val="clear" w:color="auto" w:fill="B2A1C7" w:themeFill="accent4" w:themeFillTint="99"/>
          </w:tcPr>
          <w:p w14:paraId="7E1FA4A6" w14:textId="77777777" w:rsidR="00085E12" w:rsidRPr="00EE0729" w:rsidRDefault="00085E12" w:rsidP="00816F8C">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EFC5F01"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Ensures that customers are at the heart of all services provided</w:t>
            </w:r>
          </w:p>
        </w:tc>
      </w:tr>
      <w:tr w:rsidR="00085E12" w:rsidRPr="00F85551" w14:paraId="123E47EF" w14:textId="77777777" w:rsidTr="006E145A">
        <w:tc>
          <w:tcPr>
            <w:tcW w:w="1843" w:type="dxa"/>
            <w:vMerge/>
            <w:tcBorders>
              <w:left w:val="single" w:sz="4" w:space="0" w:color="FFFFFF"/>
              <w:right w:val="single" w:sz="4" w:space="0" w:color="FFFFFF"/>
            </w:tcBorders>
            <w:shd w:val="clear" w:color="auto" w:fill="B2A1C7" w:themeFill="accent4" w:themeFillTint="99"/>
          </w:tcPr>
          <w:p w14:paraId="621D4A52" w14:textId="77777777" w:rsidR="00085E12" w:rsidRPr="00EE0729" w:rsidRDefault="00085E12" w:rsidP="00816F8C">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8B927F3" w14:textId="77777777" w:rsidR="00085E12" w:rsidRPr="00F85551"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Upholds high standards of honesty, ethics and integrity</w:t>
            </w:r>
          </w:p>
        </w:tc>
      </w:tr>
      <w:tr w:rsidR="00085E12" w:rsidRPr="00F36A9A" w14:paraId="3906FD4A" w14:textId="77777777" w:rsidTr="006E145A">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7A5A4734" w14:textId="77777777" w:rsidR="00085E12" w:rsidRPr="00EE0729" w:rsidRDefault="00085E12" w:rsidP="00816F8C">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746A9C9C" w14:textId="77777777" w:rsidR="00085E12" w:rsidRPr="00C9755E" w:rsidRDefault="00085E12" w:rsidP="00816F8C">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C9755E">
              <w:rPr>
                <w:rFonts w:ascii="Calibri" w:eastAsia="Calibri" w:hAnsi="Calibri" w:cs="Arial"/>
                <w:color w:val="000000" w:themeColor="text1"/>
                <w:sz w:val="17"/>
                <w:szCs w:val="17"/>
              </w:rPr>
              <w:t>Strives to perform at a high level, investing significant energy to achieve agreed objectives</w:t>
            </w:r>
          </w:p>
        </w:tc>
      </w:tr>
      <w:bookmarkEnd w:id="1"/>
    </w:tbl>
    <w:p w14:paraId="10C9E735" w14:textId="77777777" w:rsidR="00F67F91" w:rsidRDefault="00F67F91" w:rsidP="006E145A">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1EEBCB7A" w14:textId="29E53901" w:rsidR="00085E12" w:rsidRPr="00643481" w:rsidRDefault="00085E12" w:rsidP="00085E1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lang w:val="en-IE"/>
        </w:rPr>
        <w:lastRenderedPageBreak/>
        <w:t xml:space="preserve">Senior Public Transport Regulation Analyst </w:t>
      </w:r>
      <w:r>
        <w:rPr>
          <w:rFonts w:ascii="Calibri" w:eastAsia="Calibri" w:hAnsi="Calibri" w:cs="Arial"/>
          <w:b/>
          <w:color w:val="000000" w:themeColor="text1"/>
          <w:sz w:val="32"/>
          <w:szCs w:val="32"/>
        </w:rPr>
        <w:t xml:space="preserve">- </w:t>
      </w:r>
      <w:r w:rsidRPr="00DC4826">
        <w:rPr>
          <w:rFonts w:ascii="Calibri" w:hAnsi="Calibri" w:cs="Arial"/>
          <w:b/>
          <w:color w:val="000000" w:themeColor="text1"/>
          <w:sz w:val="32"/>
          <w:szCs w:val="32"/>
        </w:rPr>
        <w:t>Key Achievements Form</w:t>
      </w:r>
    </w:p>
    <w:p w14:paraId="56E9BADF" w14:textId="77777777" w:rsidR="00085E12" w:rsidRPr="006D730F" w:rsidRDefault="00085E12" w:rsidP="00085E12">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5FB2D5A6"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6ABB3CEF"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p>
    <w:p w14:paraId="2C1D91CA"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056EBA9E"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p>
    <w:p w14:paraId="03F9F6C6"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Pr="00DC4826">
        <w:rPr>
          <w:rFonts w:ascii="Calibri" w:hAnsi="Calibri" w:cs="Arial"/>
          <w:color w:val="000000" w:themeColor="text1"/>
          <w:sz w:val="24"/>
          <w:szCs w:val="24"/>
        </w:rPr>
        <w:t xml:space="preserve"> all elements of the STAR competency framework – which is outlined below: </w:t>
      </w:r>
    </w:p>
    <w:p w14:paraId="277CC653" w14:textId="77777777" w:rsidR="00085E12" w:rsidRPr="00DC4826" w:rsidRDefault="00085E12" w:rsidP="00085E12">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085E12" w:rsidRPr="00DC4826" w14:paraId="14C776C3" w14:textId="77777777" w:rsidTr="00816F8C">
        <w:tc>
          <w:tcPr>
            <w:tcW w:w="1276" w:type="dxa"/>
          </w:tcPr>
          <w:p w14:paraId="78D1210F" w14:textId="77777777" w:rsidR="00085E12" w:rsidRPr="00DC4826" w:rsidRDefault="00085E12" w:rsidP="00816F8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9EE4486" w14:textId="77777777" w:rsidR="00085E12" w:rsidRPr="00DC4826" w:rsidRDefault="00085E12" w:rsidP="00816F8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085E12" w:rsidRPr="00DC4826" w14:paraId="5E9359C8" w14:textId="77777777" w:rsidTr="00816F8C">
        <w:tc>
          <w:tcPr>
            <w:tcW w:w="1276" w:type="dxa"/>
          </w:tcPr>
          <w:p w14:paraId="4323E584" w14:textId="77777777" w:rsidR="00085E12" w:rsidRPr="00DC4826" w:rsidRDefault="00085E12" w:rsidP="00816F8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328C827" w14:textId="77777777" w:rsidR="00085E12" w:rsidRPr="00DC4826" w:rsidRDefault="00085E12" w:rsidP="00816F8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085E12" w:rsidRPr="00DC4826" w14:paraId="0B209D09" w14:textId="77777777" w:rsidTr="00816F8C">
        <w:tc>
          <w:tcPr>
            <w:tcW w:w="1276" w:type="dxa"/>
          </w:tcPr>
          <w:p w14:paraId="55E830C9" w14:textId="77777777" w:rsidR="00085E12" w:rsidRPr="00DC4826" w:rsidRDefault="00085E12" w:rsidP="00816F8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47A474C6" w14:textId="77777777" w:rsidR="00085E12" w:rsidRPr="00DC4826" w:rsidRDefault="00085E12" w:rsidP="00816F8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085E12" w:rsidRPr="00DC4826" w14:paraId="0B24320E" w14:textId="77777777" w:rsidTr="00816F8C">
        <w:tc>
          <w:tcPr>
            <w:tcW w:w="1276" w:type="dxa"/>
          </w:tcPr>
          <w:p w14:paraId="7D351238" w14:textId="77777777" w:rsidR="00085E12" w:rsidRPr="00DC4826" w:rsidRDefault="00085E12" w:rsidP="00816F8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7808F822" w14:textId="77777777" w:rsidR="00085E12" w:rsidRPr="00DC4826" w:rsidRDefault="00085E12" w:rsidP="00816F8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06A106C0" w14:textId="77777777" w:rsidR="00085E12" w:rsidRPr="00DC4826"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p>
    <w:p w14:paraId="6A8CA80C" w14:textId="77777777" w:rsidR="00085E12" w:rsidRPr="003F2C82" w:rsidRDefault="00085E12" w:rsidP="00085E12">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117CC52" w14:textId="77777777" w:rsidR="00085E12"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p>
    <w:p w14:paraId="79063835" w14:textId="77777777" w:rsidR="00085E12"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7EA741F6" w14:textId="77777777" w:rsidR="00085E12"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p>
    <w:p w14:paraId="719A6C2E" w14:textId="77777777" w:rsidR="00085E12" w:rsidRDefault="00085E12" w:rsidP="00085E12">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Pr>
          <w:rFonts w:ascii="Calibri" w:hAnsi="Calibri" w:cs="Arial"/>
          <w:color w:val="000000" w:themeColor="text1"/>
          <w:sz w:val="24"/>
          <w:szCs w:val="24"/>
        </w:rPr>
        <w:br w:type="page"/>
      </w:r>
    </w:p>
    <w:p w14:paraId="4C351D9E" w14:textId="029A6C0D" w:rsidR="00085E12" w:rsidRPr="00BD5756" w:rsidRDefault="00085E12" w:rsidP="00085E1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 xml:space="preserve">Senior Public Transport Regulation Analyst - </w:t>
      </w:r>
      <w:r w:rsidRPr="008823AA">
        <w:rPr>
          <w:rFonts w:ascii="Calibri" w:eastAsia="Calibri" w:hAnsi="Calibri" w:cs="Arial"/>
          <w:b/>
          <w:color w:val="000000" w:themeColor="text1"/>
          <w:sz w:val="32"/>
          <w:szCs w:val="32"/>
          <w:lang w:val="en-IE"/>
        </w:rPr>
        <w:t>Key Achievements Form</w:t>
      </w:r>
    </w:p>
    <w:p w14:paraId="1156D349" w14:textId="77777777" w:rsidR="00085E12" w:rsidRDefault="00085E12" w:rsidP="00085E12">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4AF45124" w14:textId="77777777" w:rsidR="00085E12" w:rsidRDefault="00085E12" w:rsidP="00085E12">
      <w:pPr>
        <w:tabs>
          <w:tab w:val="left" w:pos="0"/>
        </w:tabs>
        <w:suppressAutoHyphens/>
        <w:spacing w:line="360" w:lineRule="auto"/>
        <w:ind w:right="-32"/>
        <w:jc w:val="both"/>
        <w:rPr>
          <w:rFonts w:ascii="Calibri" w:hAnsi="Calibri" w:cs="Arial"/>
          <w:color w:val="000000" w:themeColor="text1"/>
          <w:sz w:val="22"/>
          <w:szCs w:val="22"/>
        </w:rPr>
      </w:pPr>
    </w:p>
    <w:p w14:paraId="19D99FB5" w14:textId="77777777" w:rsidR="00085E12" w:rsidRPr="00AF29AF" w:rsidRDefault="00085E12" w:rsidP="00085E12">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4CD09D1F" w14:textId="77777777" w:rsidR="00085E12" w:rsidRPr="00DC4826" w:rsidRDefault="00085E12" w:rsidP="00085E12">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6E145A" w:rsidRPr="008E45BD" w14:paraId="6CD380FB" w14:textId="77777777" w:rsidTr="00816F8C">
        <w:trPr>
          <w:trHeight w:val="411"/>
        </w:trPr>
        <w:tc>
          <w:tcPr>
            <w:tcW w:w="9039" w:type="dxa"/>
            <w:shd w:val="clear" w:color="auto" w:fill="7030A0"/>
          </w:tcPr>
          <w:p w14:paraId="78338DCA" w14:textId="475FFDA0" w:rsidR="006E145A" w:rsidRPr="008C2583" w:rsidRDefault="006E145A" w:rsidP="00816F8C">
            <w:pPr>
              <w:spacing w:after="200" w:line="360" w:lineRule="auto"/>
              <w:ind w:right="-32"/>
              <w:rPr>
                <w:rFonts w:asciiTheme="minorHAnsi" w:eastAsiaTheme="minorHAnsi" w:hAnsiTheme="minorHAnsi" w:cs="Calibri"/>
                <w:b/>
                <w:color w:val="FFFFFF" w:themeColor="background1"/>
                <w:sz w:val="22"/>
                <w:szCs w:val="22"/>
                <w:lang w:val="en-IE" w:eastAsia="en-US"/>
              </w:rPr>
            </w:pPr>
            <w:r>
              <w:rPr>
                <w:rFonts w:asciiTheme="minorHAnsi" w:eastAsiaTheme="minorHAnsi" w:hAnsiTheme="minorHAnsi" w:cs="Calibri"/>
                <w:b/>
                <w:color w:val="FFFFFF" w:themeColor="background1"/>
                <w:sz w:val="22"/>
                <w:szCs w:val="22"/>
                <w:lang w:val="en-IE" w:eastAsia="en-US"/>
              </w:rPr>
              <w:t>Team Leadership</w:t>
            </w:r>
          </w:p>
        </w:tc>
      </w:tr>
      <w:tr w:rsidR="006E145A" w:rsidRPr="008E45BD" w14:paraId="69566870" w14:textId="77777777" w:rsidTr="006E145A">
        <w:trPr>
          <w:trHeight w:val="411"/>
        </w:trPr>
        <w:tc>
          <w:tcPr>
            <w:tcW w:w="9039" w:type="dxa"/>
            <w:shd w:val="clear" w:color="auto" w:fill="auto"/>
          </w:tcPr>
          <w:p w14:paraId="1BC2ED9E" w14:textId="77777777" w:rsidR="006E145A" w:rsidRPr="007E7401" w:rsidRDefault="006E145A" w:rsidP="006E145A">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8D7D372" w14:textId="77777777" w:rsidR="006E145A" w:rsidRDefault="006E145A" w:rsidP="00816F8C">
            <w:pPr>
              <w:spacing w:after="200" w:line="360" w:lineRule="auto"/>
              <w:ind w:right="-32"/>
              <w:rPr>
                <w:rFonts w:asciiTheme="minorHAnsi" w:eastAsiaTheme="minorHAnsi" w:hAnsiTheme="minorHAnsi" w:cs="Calibri"/>
                <w:b/>
                <w:color w:val="FFFFFF" w:themeColor="background1"/>
                <w:sz w:val="22"/>
                <w:szCs w:val="22"/>
                <w:lang w:val="en-IE" w:eastAsia="en-US"/>
              </w:rPr>
            </w:pPr>
          </w:p>
          <w:p w14:paraId="7F0D465B" w14:textId="2EB9137E" w:rsidR="006E145A" w:rsidRDefault="006E145A" w:rsidP="00816F8C">
            <w:pPr>
              <w:spacing w:after="200" w:line="360" w:lineRule="auto"/>
              <w:ind w:right="-32"/>
              <w:rPr>
                <w:rFonts w:asciiTheme="minorHAnsi" w:eastAsiaTheme="minorHAnsi" w:hAnsiTheme="minorHAnsi" w:cs="Calibri"/>
                <w:b/>
                <w:color w:val="FFFFFF" w:themeColor="background1"/>
                <w:sz w:val="22"/>
                <w:szCs w:val="22"/>
                <w:lang w:val="en-IE" w:eastAsia="en-US"/>
              </w:rPr>
            </w:pPr>
          </w:p>
          <w:p w14:paraId="0D2D9055" w14:textId="77777777" w:rsidR="006E145A" w:rsidRDefault="006E145A" w:rsidP="00816F8C">
            <w:pPr>
              <w:spacing w:after="200" w:line="360" w:lineRule="auto"/>
              <w:ind w:right="-32"/>
              <w:rPr>
                <w:rFonts w:asciiTheme="minorHAnsi" w:eastAsiaTheme="minorHAnsi" w:hAnsiTheme="minorHAnsi" w:cs="Calibri"/>
                <w:b/>
                <w:color w:val="FFFFFF" w:themeColor="background1"/>
                <w:sz w:val="22"/>
                <w:szCs w:val="22"/>
                <w:lang w:val="en-IE" w:eastAsia="en-US"/>
              </w:rPr>
            </w:pPr>
          </w:p>
          <w:p w14:paraId="491297CD" w14:textId="3AD7ACCF" w:rsidR="006E145A" w:rsidRPr="008C2583" w:rsidRDefault="006E145A" w:rsidP="00816F8C">
            <w:pPr>
              <w:spacing w:after="200" w:line="360" w:lineRule="auto"/>
              <w:ind w:right="-32"/>
              <w:rPr>
                <w:rFonts w:asciiTheme="minorHAnsi" w:eastAsiaTheme="minorHAnsi" w:hAnsiTheme="minorHAnsi" w:cs="Calibri"/>
                <w:b/>
                <w:color w:val="FFFFFF" w:themeColor="background1"/>
                <w:sz w:val="22"/>
                <w:szCs w:val="22"/>
                <w:lang w:val="en-IE" w:eastAsia="en-US"/>
              </w:rPr>
            </w:pPr>
          </w:p>
        </w:tc>
      </w:tr>
      <w:tr w:rsidR="00085E12" w:rsidRPr="008E45BD" w14:paraId="02D71E25" w14:textId="77777777" w:rsidTr="00816F8C">
        <w:trPr>
          <w:trHeight w:val="411"/>
        </w:trPr>
        <w:tc>
          <w:tcPr>
            <w:tcW w:w="9039" w:type="dxa"/>
            <w:shd w:val="clear" w:color="auto" w:fill="7030A0"/>
          </w:tcPr>
          <w:p w14:paraId="7A289B34" w14:textId="77777777" w:rsidR="00085E12" w:rsidRPr="007E7401" w:rsidRDefault="00085E12" w:rsidP="00816F8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8C2583">
              <w:rPr>
                <w:rFonts w:asciiTheme="minorHAnsi" w:eastAsiaTheme="minorHAnsi" w:hAnsiTheme="minorHAnsi" w:cs="Calibri"/>
                <w:b/>
                <w:color w:val="FFFFFF" w:themeColor="background1"/>
                <w:sz w:val="22"/>
                <w:szCs w:val="22"/>
                <w:lang w:val="en-IE" w:eastAsia="en-US"/>
              </w:rPr>
              <w:t>Judgement, Analysis &amp; Decision Making</w:t>
            </w:r>
          </w:p>
        </w:tc>
      </w:tr>
      <w:tr w:rsidR="00085E12" w:rsidRPr="008E45BD" w14:paraId="549CADF9" w14:textId="77777777" w:rsidTr="00816F8C">
        <w:trPr>
          <w:trHeight w:val="1277"/>
        </w:trPr>
        <w:tc>
          <w:tcPr>
            <w:tcW w:w="9039" w:type="dxa"/>
            <w:tcBorders>
              <w:bottom w:val="single" w:sz="4" w:space="0" w:color="auto"/>
            </w:tcBorders>
          </w:tcPr>
          <w:p w14:paraId="11AC157C"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11C0F7B1"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32EAE9EA" w14:textId="3B510400" w:rsidR="00085E12" w:rsidRDefault="00085E12" w:rsidP="00816F8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E13400E" w14:textId="77777777" w:rsidR="006E145A" w:rsidRPr="007E7401" w:rsidRDefault="006E145A" w:rsidP="00816F8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791C7AB7"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085E12" w:rsidRPr="001446E3" w14:paraId="1DE839A9" w14:textId="77777777" w:rsidTr="00816F8C">
        <w:trPr>
          <w:trHeight w:val="432"/>
        </w:trPr>
        <w:tc>
          <w:tcPr>
            <w:tcW w:w="9039" w:type="dxa"/>
            <w:shd w:val="clear" w:color="auto" w:fill="7030A0"/>
          </w:tcPr>
          <w:p w14:paraId="19CB0E17" w14:textId="77777777" w:rsidR="00085E12" w:rsidRPr="007E7401" w:rsidRDefault="00085E12" w:rsidP="00816F8C">
            <w:pPr>
              <w:spacing w:after="200" w:line="360" w:lineRule="auto"/>
              <w:ind w:right="-32"/>
              <w:rPr>
                <w:rFonts w:asciiTheme="minorHAnsi" w:eastAsiaTheme="minorHAnsi" w:hAnsiTheme="minorHAnsi" w:cstheme="minorHAnsi"/>
                <w:i/>
                <w:sz w:val="22"/>
                <w:szCs w:val="22"/>
                <w:lang w:val="en-IE" w:eastAsia="en-US"/>
              </w:rPr>
            </w:pPr>
            <w:r w:rsidRPr="008C2583">
              <w:rPr>
                <w:rFonts w:asciiTheme="minorHAnsi" w:eastAsiaTheme="minorHAnsi" w:hAnsiTheme="minorHAnsi" w:cs="Calibri"/>
                <w:b/>
                <w:color w:val="FFFFFF" w:themeColor="background1"/>
                <w:sz w:val="22"/>
                <w:szCs w:val="22"/>
                <w:lang w:val="en-IE" w:eastAsia="en-US"/>
              </w:rPr>
              <w:t>Management &amp; Delivery of Results</w:t>
            </w:r>
          </w:p>
        </w:tc>
      </w:tr>
      <w:tr w:rsidR="00085E12" w:rsidRPr="001446E3" w14:paraId="257C30E9" w14:textId="77777777" w:rsidTr="00816F8C">
        <w:trPr>
          <w:trHeight w:val="1245"/>
        </w:trPr>
        <w:tc>
          <w:tcPr>
            <w:tcW w:w="9039" w:type="dxa"/>
          </w:tcPr>
          <w:p w14:paraId="70F8CFCC"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1448C949"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p w14:paraId="475EB8E1" w14:textId="338D1A93" w:rsidR="00085E12"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p w14:paraId="474149CD" w14:textId="77777777" w:rsidR="006E145A" w:rsidRPr="007E7401" w:rsidRDefault="006E145A" w:rsidP="00816F8C">
            <w:pPr>
              <w:spacing w:after="200" w:line="360" w:lineRule="auto"/>
              <w:ind w:right="-32"/>
              <w:rPr>
                <w:rFonts w:asciiTheme="minorHAnsi" w:eastAsiaTheme="minorHAnsi" w:hAnsiTheme="minorHAnsi" w:cstheme="minorHAnsi"/>
                <w:color w:val="000000"/>
                <w:sz w:val="22"/>
                <w:szCs w:val="22"/>
                <w:lang w:val="en-IE" w:eastAsia="en-US"/>
              </w:rPr>
            </w:pPr>
          </w:p>
          <w:p w14:paraId="17E774E5"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tc>
      </w:tr>
      <w:tr w:rsidR="00085E12" w:rsidRPr="001446E3" w14:paraId="7F2D3A1B" w14:textId="77777777" w:rsidTr="00816F8C">
        <w:trPr>
          <w:trHeight w:val="555"/>
        </w:trPr>
        <w:tc>
          <w:tcPr>
            <w:tcW w:w="9039" w:type="dxa"/>
            <w:shd w:val="clear" w:color="auto" w:fill="7030A0"/>
          </w:tcPr>
          <w:p w14:paraId="286D2B92" w14:textId="77777777" w:rsidR="00085E12" w:rsidRPr="00D654A3" w:rsidRDefault="00085E12" w:rsidP="00816F8C">
            <w:pPr>
              <w:spacing w:after="200" w:line="360" w:lineRule="auto"/>
              <w:ind w:right="-32"/>
              <w:rPr>
                <w:rFonts w:asciiTheme="minorHAnsi" w:eastAsiaTheme="minorHAnsi" w:hAnsiTheme="minorHAnsi" w:cstheme="minorHAnsi"/>
                <w:color w:val="FFFFFF" w:themeColor="background1"/>
                <w:sz w:val="22"/>
                <w:szCs w:val="22"/>
                <w:lang w:val="en-IE" w:eastAsia="en-US"/>
              </w:rPr>
            </w:pPr>
            <w:r w:rsidRPr="008C2583">
              <w:rPr>
                <w:rFonts w:asciiTheme="minorHAnsi" w:eastAsiaTheme="minorHAnsi" w:hAnsiTheme="minorHAnsi" w:cs="Calibri"/>
                <w:b/>
                <w:color w:val="FFFFFF" w:themeColor="background1"/>
                <w:sz w:val="22"/>
                <w:szCs w:val="22"/>
                <w:lang w:val="en-IE" w:eastAsia="en-US"/>
              </w:rPr>
              <w:lastRenderedPageBreak/>
              <w:t>Interpersonal &amp; Communication Skills</w:t>
            </w:r>
          </w:p>
        </w:tc>
      </w:tr>
      <w:tr w:rsidR="00085E12" w:rsidRPr="001446E3" w14:paraId="0653BAB0" w14:textId="77777777" w:rsidTr="00816F8C">
        <w:trPr>
          <w:trHeight w:val="1245"/>
        </w:trPr>
        <w:tc>
          <w:tcPr>
            <w:tcW w:w="9039" w:type="dxa"/>
          </w:tcPr>
          <w:p w14:paraId="051B1540"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7B0ADA0A" w14:textId="77777777" w:rsidR="00085E12" w:rsidRPr="007E7401" w:rsidRDefault="00085E12" w:rsidP="00816F8C">
            <w:pPr>
              <w:spacing w:after="200" w:line="360" w:lineRule="auto"/>
              <w:ind w:right="-32"/>
              <w:rPr>
                <w:rFonts w:asciiTheme="minorHAnsi" w:eastAsiaTheme="minorHAnsi" w:hAnsiTheme="minorHAnsi" w:cstheme="minorHAnsi"/>
                <w:b/>
                <w:sz w:val="22"/>
                <w:szCs w:val="22"/>
                <w:lang w:val="en-IE" w:eastAsia="en-US"/>
              </w:rPr>
            </w:pPr>
          </w:p>
          <w:p w14:paraId="6A5BAEC3" w14:textId="77777777" w:rsidR="00085E12" w:rsidRPr="007E7401" w:rsidRDefault="00085E12" w:rsidP="00816F8C">
            <w:pPr>
              <w:spacing w:after="200" w:line="360" w:lineRule="auto"/>
              <w:ind w:right="-32"/>
              <w:rPr>
                <w:rFonts w:asciiTheme="minorHAnsi" w:eastAsiaTheme="minorHAnsi" w:hAnsiTheme="minorHAnsi" w:cstheme="minorHAnsi"/>
                <w:b/>
                <w:sz w:val="22"/>
                <w:szCs w:val="22"/>
                <w:lang w:val="en-IE" w:eastAsia="en-US"/>
              </w:rPr>
            </w:pPr>
          </w:p>
          <w:p w14:paraId="5A4C55DD" w14:textId="77777777" w:rsidR="00085E12" w:rsidRDefault="00085E12" w:rsidP="00816F8C">
            <w:pPr>
              <w:spacing w:after="200" w:line="360" w:lineRule="auto"/>
              <w:ind w:right="-32"/>
              <w:rPr>
                <w:rFonts w:asciiTheme="minorHAnsi" w:eastAsiaTheme="minorHAnsi" w:hAnsiTheme="minorHAnsi" w:cstheme="minorHAnsi"/>
                <w:b/>
                <w:sz w:val="22"/>
                <w:szCs w:val="22"/>
                <w:lang w:val="en-IE" w:eastAsia="en-US"/>
              </w:rPr>
            </w:pPr>
          </w:p>
          <w:p w14:paraId="3D86F61F" w14:textId="77777777" w:rsidR="00085E12" w:rsidRDefault="00085E12" w:rsidP="00816F8C">
            <w:pPr>
              <w:spacing w:after="200" w:line="360" w:lineRule="auto"/>
              <w:ind w:right="-32"/>
              <w:rPr>
                <w:rFonts w:asciiTheme="minorHAnsi" w:eastAsiaTheme="minorHAnsi" w:hAnsiTheme="minorHAnsi" w:cstheme="minorHAnsi"/>
                <w:b/>
                <w:sz w:val="22"/>
                <w:szCs w:val="22"/>
                <w:lang w:val="en-IE" w:eastAsia="en-US"/>
              </w:rPr>
            </w:pPr>
          </w:p>
          <w:p w14:paraId="7D9CE03F" w14:textId="77777777" w:rsidR="00085E12" w:rsidRPr="007E7401" w:rsidRDefault="00085E12" w:rsidP="00816F8C">
            <w:pPr>
              <w:spacing w:after="200" w:line="360" w:lineRule="auto"/>
              <w:ind w:right="-32"/>
              <w:rPr>
                <w:rFonts w:asciiTheme="minorHAnsi" w:eastAsiaTheme="minorHAnsi" w:hAnsiTheme="minorHAnsi" w:cstheme="minorHAnsi"/>
                <w:b/>
                <w:sz w:val="22"/>
                <w:szCs w:val="22"/>
                <w:lang w:val="en-IE" w:eastAsia="en-US"/>
              </w:rPr>
            </w:pPr>
          </w:p>
        </w:tc>
      </w:tr>
      <w:tr w:rsidR="00085E12" w:rsidRPr="00956E4F" w14:paraId="1C66B826" w14:textId="77777777" w:rsidTr="00816F8C">
        <w:trPr>
          <w:trHeight w:val="411"/>
        </w:trPr>
        <w:tc>
          <w:tcPr>
            <w:tcW w:w="9039" w:type="dxa"/>
            <w:shd w:val="clear" w:color="auto" w:fill="7030A0"/>
          </w:tcPr>
          <w:p w14:paraId="00FD9C6D" w14:textId="77777777" w:rsidR="00085E12" w:rsidRPr="007E7401" w:rsidRDefault="00085E12" w:rsidP="00816F8C">
            <w:pPr>
              <w:spacing w:after="200" w:line="360" w:lineRule="auto"/>
              <w:ind w:right="-32"/>
              <w:rPr>
                <w:rFonts w:asciiTheme="minorHAnsi" w:hAnsiTheme="minorHAnsi" w:cstheme="minorHAnsi"/>
                <w:b/>
                <w:color w:val="000000"/>
                <w:sz w:val="22"/>
                <w:szCs w:val="22"/>
              </w:rPr>
            </w:pPr>
            <w:r w:rsidRPr="008C2583">
              <w:rPr>
                <w:rFonts w:asciiTheme="minorHAnsi" w:eastAsiaTheme="minorHAnsi" w:hAnsiTheme="minorHAnsi" w:cs="Calibri"/>
                <w:b/>
                <w:color w:val="FFFFFF" w:themeColor="background1"/>
                <w:sz w:val="22"/>
                <w:szCs w:val="22"/>
                <w:lang w:val="en-IE" w:eastAsia="en-US"/>
              </w:rPr>
              <w:t>Specialist Knowledge, Expertise &amp; Self Development</w:t>
            </w:r>
          </w:p>
        </w:tc>
      </w:tr>
      <w:tr w:rsidR="00085E12" w:rsidRPr="00956E4F" w14:paraId="4DF859D8" w14:textId="77777777" w:rsidTr="00816F8C">
        <w:trPr>
          <w:trHeight w:val="1277"/>
        </w:trPr>
        <w:tc>
          <w:tcPr>
            <w:tcW w:w="9039" w:type="dxa"/>
            <w:tcBorders>
              <w:bottom w:val="single" w:sz="4" w:space="0" w:color="auto"/>
            </w:tcBorders>
          </w:tcPr>
          <w:p w14:paraId="2BB34646"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179BC0D0"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p w14:paraId="4D40B16F"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p w14:paraId="45E3C48E" w14:textId="77777777" w:rsidR="00085E12" w:rsidRPr="007E7401" w:rsidRDefault="00085E12" w:rsidP="00816F8C">
            <w:pPr>
              <w:spacing w:after="200" w:line="360" w:lineRule="auto"/>
              <w:ind w:right="-32"/>
              <w:rPr>
                <w:rFonts w:asciiTheme="minorHAnsi" w:eastAsiaTheme="minorHAnsi" w:hAnsiTheme="minorHAnsi" w:cstheme="minorHAnsi"/>
                <w:color w:val="000000"/>
                <w:sz w:val="22"/>
                <w:szCs w:val="22"/>
                <w:lang w:val="en-IE" w:eastAsia="en-US"/>
              </w:rPr>
            </w:pPr>
          </w:p>
        </w:tc>
      </w:tr>
    </w:tbl>
    <w:p w14:paraId="4B9BA0A4" w14:textId="77777777" w:rsidR="00085E12" w:rsidRDefault="00085E12" w:rsidP="00085E12">
      <w:pPr>
        <w:spacing w:after="200" w:line="360" w:lineRule="auto"/>
        <w:ind w:right="-32"/>
        <w:rPr>
          <w:rFonts w:asciiTheme="minorHAnsi" w:eastAsiaTheme="minorHAnsi" w:hAnsiTheme="minorHAnsi" w:cstheme="minorHAnsi"/>
          <w:b/>
          <w:color w:val="000000" w:themeColor="text1"/>
          <w:sz w:val="24"/>
          <w:szCs w:val="24"/>
          <w:lang w:val="en-IE" w:eastAsia="en-US"/>
        </w:rPr>
      </w:pPr>
    </w:p>
    <w:p w14:paraId="2CB78385"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73D3FB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3C1098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F971134"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17BC239"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3D6BF61"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078A85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FDE9248"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89E9FFD"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1BD11DA" w14:textId="77777777" w:rsidR="00BD5756" w:rsidRDefault="00BD5756" w:rsidP="00085E12">
      <w:pPr>
        <w:spacing w:after="200" w:line="360" w:lineRule="auto"/>
        <w:ind w:right="-32"/>
        <w:rPr>
          <w:rFonts w:asciiTheme="minorHAnsi" w:eastAsiaTheme="minorHAnsi" w:hAnsiTheme="minorHAnsi" w:cstheme="minorHAnsi"/>
          <w:b/>
          <w:color w:val="000000" w:themeColor="text1"/>
          <w:sz w:val="24"/>
          <w:szCs w:val="24"/>
          <w:lang w:val="en-IE" w:eastAsia="en-US"/>
        </w:rPr>
      </w:pPr>
    </w:p>
    <w:p w14:paraId="1D628C46"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8AC161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2CD9820C"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2F5ED795"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6481451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4E43AA7D"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14F06D48" w14:textId="77777777"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69D1DE6"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490E9FB"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366D0B77"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2C443AE8" w14:textId="77777777" w:rsidTr="006044B2">
        <w:tc>
          <w:tcPr>
            <w:tcW w:w="1668" w:type="dxa"/>
            <w:shd w:val="clear" w:color="auto" w:fill="0F243E" w:themeFill="text2" w:themeFillShade="80"/>
          </w:tcPr>
          <w:p w14:paraId="105DA070"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72E091B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27BA2C97" w14:textId="77777777" w:rsidTr="006044B2">
        <w:tc>
          <w:tcPr>
            <w:tcW w:w="1668" w:type="dxa"/>
          </w:tcPr>
          <w:p w14:paraId="5094AD1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2C26C1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5AB7BB56" w14:textId="77777777" w:rsidTr="006044B2">
        <w:tc>
          <w:tcPr>
            <w:tcW w:w="1668" w:type="dxa"/>
          </w:tcPr>
          <w:p w14:paraId="2C4D5C2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2ED5CA1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5D10AEB" w14:textId="77777777" w:rsidTr="006044B2">
        <w:tc>
          <w:tcPr>
            <w:tcW w:w="1668" w:type="dxa"/>
          </w:tcPr>
          <w:p w14:paraId="559AB54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2B2A036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4854D5F0" w14:textId="77777777" w:rsidTr="006044B2">
        <w:tc>
          <w:tcPr>
            <w:tcW w:w="1668" w:type="dxa"/>
          </w:tcPr>
          <w:p w14:paraId="3F9C88F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733EB93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46B888A8" w14:textId="77777777" w:rsidTr="006044B2">
        <w:tc>
          <w:tcPr>
            <w:tcW w:w="1668" w:type="dxa"/>
          </w:tcPr>
          <w:p w14:paraId="79A0395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12C5BB8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305F619C"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306993"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1A4F065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64B22A1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204A372"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26FF1B04"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3BC30B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05A48750"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13E7C475"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D687F6A"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7FD0D59" w14:textId="77777777" w:rsidTr="006044B2">
        <w:tc>
          <w:tcPr>
            <w:tcW w:w="1668" w:type="dxa"/>
            <w:shd w:val="clear" w:color="auto" w:fill="0F243E" w:themeFill="text2" w:themeFillShade="80"/>
          </w:tcPr>
          <w:p w14:paraId="6CECE736"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76EFD6C"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4567D7C7" w14:textId="77777777" w:rsidTr="006044B2">
        <w:tc>
          <w:tcPr>
            <w:tcW w:w="1668" w:type="dxa"/>
          </w:tcPr>
          <w:p w14:paraId="21F5E58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717234F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31965453" w14:textId="77777777" w:rsidTr="006044B2">
        <w:tc>
          <w:tcPr>
            <w:tcW w:w="1668" w:type="dxa"/>
          </w:tcPr>
          <w:p w14:paraId="3BCDCF8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619F268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00F38D15" w14:textId="77777777" w:rsidTr="006044B2">
        <w:tc>
          <w:tcPr>
            <w:tcW w:w="1668" w:type="dxa"/>
          </w:tcPr>
          <w:p w14:paraId="6F2DC5F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4A10C8C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2F3C95DF" w14:textId="77777777" w:rsidTr="006044B2">
        <w:tc>
          <w:tcPr>
            <w:tcW w:w="1668" w:type="dxa"/>
          </w:tcPr>
          <w:p w14:paraId="1A780B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A67127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5786C0A" w14:textId="77777777" w:rsidTr="006044B2">
        <w:tc>
          <w:tcPr>
            <w:tcW w:w="1668" w:type="dxa"/>
          </w:tcPr>
          <w:p w14:paraId="424E490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5054EF9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67AAB232" w14:textId="77777777" w:rsidTr="006044B2">
        <w:tc>
          <w:tcPr>
            <w:tcW w:w="1668" w:type="dxa"/>
          </w:tcPr>
          <w:p w14:paraId="57D5A2F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39D97D5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1A831377"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318E73E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1013D2F"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67950CDD" w14:textId="77777777"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C1B5D7D"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6B2B" w14:textId="77777777" w:rsidR="004B7E7A" w:rsidRDefault="004B7E7A">
      <w:r>
        <w:separator/>
      </w:r>
    </w:p>
  </w:endnote>
  <w:endnote w:type="continuationSeparator" w:id="0">
    <w:p w14:paraId="7416DA55" w14:textId="77777777" w:rsidR="004B7E7A" w:rsidRDefault="004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131B"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FE1B4"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A852" w14:textId="77777777" w:rsidR="00C950A9" w:rsidRPr="00C950A9" w:rsidRDefault="00C950A9" w:rsidP="00C950A9">
    <w:pPr>
      <w:spacing w:line="360" w:lineRule="auto"/>
      <w:ind w:right="-32"/>
      <w:jc w:val="center"/>
      <w:rPr>
        <w:b/>
        <w:spacing w:val="-2"/>
        <w:sz w:val="16"/>
        <w:szCs w:val="16"/>
        <w:lang w:val="en-IE"/>
      </w:rPr>
    </w:pPr>
    <w:r w:rsidRPr="00C950A9">
      <w:rPr>
        <w:b/>
        <w:spacing w:val="-2"/>
        <w:sz w:val="16"/>
        <w:szCs w:val="16"/>
        <w:lang w:val="en-IE"/>
      </w:rPr>
      <w:t>Senior Public Transport Regulation Analyst</w:t>
    </w:r>
  </w:p>
  <w:p w14:paraId="21B3F3D2"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ECA0" w14:textId="77777777" w:rsidR="004B7E7A" w:rsidRDefault="004B7E7A">
      <w:r>
        <w:separator/>
      </w:r>
    </w:p>
  </w:footnote>
  <w:footnote w:type="continuationSeparator" w:id="0">
    <w:p w14:paraId="5DF22F0E" w14:textId="77777777" w:rsidR="004B7E7A" w:rsidRDefault="004B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9512" w14:textId="28CF6CD6" w:rsidR="00B67903" w:rsidRDefault="00B67903">
    <w:pPr>
      <w:pStyle w:val="Header"/>
      <w:jc w:val="right"/>
    </w:pPr>
    <w:r>
      <w:fldChar w:fldCharType="begin"/>
    </w:r>
    <w:r>
      <w:instrText xml:space="preserve"> PAGE   \* MERGEFORMAT </w:instrText>
    </w:r>
    <w:r>
      <w:fldChar w:fldCharType="separate"/>
    </w:r>
    <w:r w:rsidR="004F4230">
      <w:rPr>
        <w:noProof/>
      </w:rPr>
      <w:t>1</w:t>
    </w:r>
    <w:r>
      <w:rPr>
        <w:noProof/>
      </w:rPr>
      <w:fldChar w:fldCharType="end"/>
    </w:r>
  </w:p>
  <w:p w14:paraId="1D09C342"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5042E"/>
    <w:multiLevelType w:val="hybridMultilevel"/>
    <w:tmpl w:val="B9601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2D41CF3"/>
    <w:multiLevelType w:val="hybridMultilevel"/>
    <w:tmpl w:val="52447394"/>
    <w:lvl w:ilvl="0" w:tplc="0E44B2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FC234F"/>
    <w:multiLevelType w:val="hybridMultilevel"/>
    <w:tmpl w:val="958E069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8154075"/>
    <w:multiLevelType w:val="hybridMultilevel"/>
    <w:tmpl w:val="806E67C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9B41A0"/>
    <w:multiLevelType w:val="hybridMultilevel"/>
    <w:tmpl w:val="AF981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6"/>
  </w:num>
  <w:num w:numId="10">
    <w:abstractNumId w:val="40"/>
  </w:num>
  <w:num w:numId="11">
    <w:abstractNumId w:val="45"/>
  </w:num>
  <w:num w:numId="12">
    <w:abstractNumId w:val="38"/>
  </w:num>
  <w:num w:numId="13">
    <w:abstractNumId w:val="2"/>
  </w:num>
  <w:num w:numId="14">
    <w:abstractNumId w:val="10"/>
  </w:num>
  <w:num w:numId="15">
    <w:abstractNumId w:val="23"/>
  </w:num>
  <w:num w:numId="16">
    <w:abstractNumId w:val="32"/>
  </w:num>
  <w:num w:numId="17">
    <w:abstractNumId w:val="25"/>
  </w:num>
  <w:num w:numId="18">
    <w:abstractNumId w:val="15"/>
  </w:num>
  <w:num w:numId="19">
    <w:abstractNumId w:val="9"/>
  </w:num>
  <w:num w:numId="20">
    <w:abstractNumId w:val="37"/>
  </w:num>
  <w:num w:numId="21">
    <w:abstractNumId w:val="39"/>
  </w:num>
  <w:num w:numId="22">
    <w:abstractNumId w:val="30"/>
  </w:num>
  <w:num w:numId="23">
    <w:abstractNumId w:val="31"/>
  </w:num>
  <w:num w:numId="24">
    <w:abstractNumId w:val="14"/>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4"/>
  </w:num>
  <w:num w:numId="34">
    <w:abstractNumId w:val="18"/>
  </w:num>
  <w:num w:numId="35">
    <w:abstractNumId w:val="3"/>
  </w:num>
  <w:num w:numId="36">
    <w:abstractNumId w:val="1"/>
  </w:num>
  <w:num w:numId="37">
    <w:abstractNumId w:val="34"/>
  </w:num>
  <w:num w:numId="38">
    <w:abstractNumId w:val="43"/>
  </w:num>
  <w:num w:numId="39">
    <w:abstractNumId w:val="27"/>
  </w:num>
  <w:num w:numId="40">
    <w:abstractNumId w:val="5"/>
  </w:num>
  <w:num w:numId="41">
    <w:abstractNumId w:val="36"/>
  </w:num>
  <w:num w:numId="42">
    <w:abstractNumId w:val="42"/>
  </w:num>
  <w:num w:numId="43">
    <w:abstractNumId w:val="28"/>
  </w:num>
  <w:num w:numId="44">
    <w:abstractNumId w:val="26"/>
  </w:num>
  <w:num w:numId="45">
    <w:abstractNumId w:val="4"/>
  </w:num>
  <w:num w:numId="46">
    <w:abstractNumId w:val="19"/>
  </w:num>
  <w:num w:numId="47">
    <w:abstractNumId w:val="44"/>
  </w:num>
  <w:num w:numId="48">
    <w:abstractNumId w:val="33"/>
  </w:num>
  <w:num w:numId="4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95"/>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2246"/>
    <w:rsid w:val="00085E12"/>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2049"/>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0518"/>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4A"/>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0E68"/>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B7E7A"/>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230"/>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145A"/>
    <w:rsid w:val="006E2545"/>
    <w:rsid w:val="006E34B0"/>
    <w:rsid w:val="006E3AD8"/>
    <w:rsid w:val="006E472F"/>
    <w:rsid w:val="006F2FAC"/>
    <w:rsid w:val="006F3894"/>
    <w:rsid w:val="006F69A7"/>
    <w:rsid w:val="00701754"/>
    <w:rsid w:val="00705B11"/>
    <w:rsid w:val="007068C0"/>
    <w:rsid w:val="007145E9"/>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733DC"/>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95178"/>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B5953"/>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07F78"/>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4FB6"/>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31E3"/>
    <w:rsid w:val="00AF44A1"/>
    <w:rsid w:val="00AF567C"/>
    <w:rsid w:val="00AF63E8"/>
    <w:rsid w:val="00AF6660"/>
    <w:rsid w:val="00AF72A9"/>
    <w:rsid w:val="00AF7A83"/>
    <w:rsid w:val="00B03C66"/>
    <w:rsid w:val="00B05FCE"/>
    <w:rsid w:val="00B06510"/>
    <w:rsid w:val="00B06ECA"/>
    <w:rsid w:val="00B07AE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6209"/>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0A9"/>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5125"/>
    <w:rsid w:val="00D26AD0"/>
    <w:rsid w:val="00D30D27"/>
    <w:rsid w:val="00D31941"/>
    <w:rsid w:val="00D323F8"/>
    <w:rsid w:val="00D32916"/>
    <w:rsid w:val="00D32A1E"/>
    <w:rsid w:val="00D35666"/>
    <w:rsid w:val="00D375AB"/>
    <w:rsid w:val="00D37C95"/>
    <w:rsid w:val="00D41DF2"/>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6F58"/>
    <w:rsid w:val="00E278F1"/>
    <w:rsid w:val="00E327A9"/>
    <w:rsid w:val="00E33D24"/>
    <w:rsid w:val="00E34E93"/>
    <w:rsid w:val="00E35044"/>
    <w:rsid w:val="00E35100"/>
    <w:rsid w:val="00E37A8F"/>
    <w:rsid w:val="00E441F8"/>
    <w:rsid w:val="00E44516"/>
    <w:rsid w:val="00E45D09"/>
    <w:rsid w:val="00E50673"/>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 w:val="00FF69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8006A"/>
  <w15:docId w15:val="{5115C869-65BB-4296-AE5B-B211A186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78"/>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3">
    <w:name w:val="Unresolved Mention3"/>
    <w:basedOn w:val="DefaultParagraphFont"/>
    <w:uiPriority w:val="99"/>
    <w:semiHidden/>
    <w:unhideWhenUsed/>
    <w:rsid w:val="00D25125"/>
    <w:rPr>
      <w:color w:val="605E5C"/>
      <w:shd w:val="clear" w:color="auto" w:fill="E1DFDD"/>
    </w:rPr>
  </w:style>
  <w:style w:type="character" w:customStyle="1" w:styleId="UnresolvedMention">
    <w:name w:val="Unresolved Mention"/>
    <w:basedOn w:val="DefaultParagraphFont"/>
    <w:uiPriority w:val="99"/>
    <w:semiHidden/>
    <w:unhideWhenUsed/>
    <w:rsid w:val="0077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Services\Human%20Resources\HR\HUMAN%20RESOURCES\RECRUITMENT\Administration\Competition%20Booklet%20Template\Competition%20Booklet%20Template%20Ma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49EF-1E8A-4BEE-BD80-52029635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Competition Booklet Template May 2021</Template>
  <TotalTime>4</TotalTime>
  <Pages>17</Pages>
  <Words>4102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27831</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Alexander</dc:creator>
  <cp:lastModifiedBy>James Dillon</cp:lastModifiedBy>
  <cp:revision>3</cp:revision>
  <cp:lastPrinted>2020-02-17T16:01:00Z</cp:lastPrinted>
  <dcterms:created xsi:type="dcterms:W3CDTF">2021-09-01T15:04:00Z</dcterms:created>
  <dcterms:modified xsi:type="dcterms:W3CDTF">2021-09-02T10:16:00Z</dcterms:modified>
</cp:coreProperties>
</file>