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30B4E" w14:textId="77777777" w:rsidR="00D461D3" w:rsidRDefault="00D461D3" w:rsidP="00D461D3">
      <w:pPr>
        <w:spacing w:after="120"/>
        <w:jc w:val="center"/>
        <w:rPr>
          <w:rFonts w:ascii="Calibri" w:hAnsi="Calibri"/>
          <w:b/>
          <w:sz w:val="40"/>
          <w:szCs w:val="40"/>
        </w:rPr>
      </w:pPr>
      <w:r>
        <w:rPr>
          <w:noProof/>
          <w:lang w:val="en-IE" w:eastAsia="en-IE"/>
        </w:rPr>
        <w:drawing>
          <wp:inline distT="0" distB="0" distL="0" distR="0" wp14:anchorId="6E5DA253" wp14:editId="19293108">
            <wp:extent cx="179260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1036320"/>
                    </a:xfrm>
                    <a:prstGeom prst="rect">
                      <a:avLst/>
                    </a:prstGeom>
                    <a:noFill/>
                  </pic:spPr>
                </pic:pic>
              </a:graphicData>
            </a:graphic>
          </wp:inline>
        </w:drawing>
      </w:r>
      <w:r w:rsidRPr="00D461D3">
        <w:rPr>
          <w:rFonts w:ascii="Calibri" w:hAnsi="Calibri"/>
          <w:b/>
          <w:sz w:val="40"/>
          <w:szCs w:val="40"/>
        </w:rPr>
        <w:t xml:space="preserve"> </w:t>
      </w:r>
    </w:p>
    <w:p w14:paraId="0035B10B" w14:textId="77777777" w:rsidR="00D461D3" w:rsidRDefault="00D461D3" w:rsidP="00D461D3">
      <w:pPr>
        <w:spacing w:after="120"/>
        <w:jc w:val="center"/>
        <w:rPr>
          <w:rFonts w:ascii="Calibri" w:hAnsi="Calibri"/>
          <w:b/>
          <w:sz w:val="40"/>
          <w:szCs w:val="40"/>
        </w:rPr>
      </w:pPr>
    </w:p>
    <w:p w14:paraId="26D5904C" w14:textId="77777777" w:rsidR="00D461D3" w:rsidRDefault="00D461D3" w:rsidP="00D461D3">
      <w:pPr>
        <w:spacing w:after="120"/>
        <w:jc w:val="center"/>
        <w:rPr>
          <w:rFonts w:ascii="Calibri" w:hAnsi="Calibri"/>
          <w:b/>
          <w:sz w:val="40"/>
          <w:szCs w:val="40"/>
        </w:rPr>
      </w:pPr>
    </w:p>
    <w:p w14:paraId="6A0D67E9" w14:textId="77777777" w:rsidR="00D461D3" w:rsidRDefault="00D461D3" w:rsidP="00D461D3">
      <w:pPr>
        <w:spacing w:after="120"/>
        <w:jc w:val="center"/>
        <w:rPr>
          <w:rFonts w:ascii="Calibri" w:hAnsi="Calibri"/>
          <w:b/>
          <w:sz w:val="40"/>
          <w:szCs w:val="40"/>
        </w:rPr>
      </w:pPr>
    </w:p>
    <w:p w14:paraId="1F5835A1" w14:textId="77777777" w:rsidR="00D461D3" w:rsidRPr="00232B19" w:rsidRDefault="00D461D3" w:rsidP="00D461D3">
      <w:pPr>
        <w:spacing w:after="120"/>
        <w:jc w:val="center"/>
        <w:rPr>
          <w:rFonts w:ascii="Calibri" w:hAnsi="Calibri"/>
          <w:b/>
          <w:sz w:val="40"/>
          <w:szCs w:val="40"/>
        </w:rPr>
      </w:pPr>
      <w:r w:rsidRPr="00232B19">
        <w:rPr>
          <w:rFonts w:ascii="Calibri" w:hAnsi="Calibri"/>
          <w:b/>
          <w:sz w:val="40"/>
          <w:szCs w:val="40"/>
        </w:rPr>
        <w:t xml:space="preserve">National Transport Authority </w:t>
      </w:r>
    </w:p>
    <w:p w14:paraId="160E2F1E" w14:textId="77777777" w:rsidR="00D461D3" w:rsidRDefault="00D461D3" w:rsidP="00D461D3"/>
    <w:p w14:paraId="39324C45" w14:textId="77777777" w:rsidR="00D461D3" w:rsidRDefault="00D461D3" w:rsidP="00D461D3"/>
    <w:p w14:paraId="59A4B9A6" w14:textId="77777777" w:rsidR="00D461D3" w:rsidRDefault="00D461D3" w:rsidP="00D461D3"/>
    <w:p w14:paraId="1F72F331" w14:textId="77777777" w:rsidR="00D461D3" w:rsidRDefault="00D461D3" w:rsidP="00D461D3"/>
    <w:p w14:paraId="17E86922" w14:textId="77777777" w:rsidR="00D461D3" w:rsidRPr="00252EF4" w:rsidRDefault="00D461D3" w:rsidP="00D461D3">
      <w:pPr>
        <w:spacing w:after="120"/>
        <w:jc w:val="center"/>
        <w:rPr>
          <w:rFonts w:ascii="Calibri" w:hAnsi="Calibri"/>
          <w:b/>
          <w:sz w:val="28"/>
          <w:szCs w:val="28"/>
        </w:rPr>
      </w:pPr>
      <w:r w:rsidRPr="00252EF4">
        <w:rPr>
          <w:rFonts w:ascii="Calibri" w:hAnsi="Calibri"/>
          <w:b/>
          <w:sz w:val="28"/>
          <w:szCs w:val="28"/>
        </w:rPr>
        <w:t>Republic of Ireland National Enforcement Body</w:t>
      </w:r>
    </w:p>
    <w:p w14:paraId="4A15F805" w14:textId="77777777" w:rsidR="00D461D3" w:rsidRPr="00252EF4" w:rsidRDefault="00D461D3" w:rsidP="00D461D3">
      <w:pPr>
        <w:spacing w:after="120"/>
        <w:jc w:val="center"/>
        <w:rPr>
          <w:rFonts w:ascii="Calibri" w:hAnsi="Calibri"/>
          <w:b/>
          <w:sz w:val="28"/>
          <w:szCs w:val="28"/>
        </w:rPr>
      </w:pPr>
      <w:r>
        <w:rPr>
          <w:rFonts w:ascii="Calibri" w:hAnsi="Calibri"/>
          <w:b/>
          <w:sz w:val="28"/>
          <w:szCs w:val="28"/>
        </w:rPr>
        <w:t>Activity Report 20</w:t>
      </w:r>
      <w:r w:rsidR="00C50ED3">
        <w:rPr>
          <w:rFonts w:ascii="Calibri" w:hAnsi="Calibri"/>
          <w:b/>
          <w:sz w:val="28"/>
          <w:szCs w:val="28"/>
        </w:rPr>
        <w:t>21</w:t>
      </w:r>
    </w:p>
    <w:p w14:paraId="47D8BA46" w14:textId="77777777" w:rsidR="00D461D3" w:rsidRPr="00252EF4" w:rsidRDefault="00D461D3" w:rsidP="00D461D3">
      <w:pPr>
        <w:spacing w:after="120"/>
        <w:jc w:val="center"/>
        <w:rPr>
          <w:rFonts w:ascii="Calibri" w:hAnsi="Calibri"/>
          <w:b/>
          <w:sz w:val="28"/>
          <w:szCs w:val="28"/>
        </w:rPr>
      </w:pPr>
    </w:p>
    <w:p w14:paraId="606EDCD4" w14:textId="77777777" w:rsidR="00D461D3" w:rsidRPr="00252EF4" w:rsidRDefault="00D461D3" w:rsidP="00D461D3">
      <w:pPr>
        <w:spacing w:after="120"/>
        <w:jc w:val="center"/>
        <w:rPr>
          <w:rFonts w:ascii="Calibri" w:hAnsi="Calibri"/>
          <w:b/>
          <w:sz w:val="28"/>
          <w:szCs w:val="28"/>
        </w:rPr>
      </w:pPr>
      <w:r w:rsidRPr="00252EF4">
        <w:rPr>
          <w:rFonts w:ascii="Calibri" w:hAnsi="Calibri"/>
          <w:b/>
          <w:sz w:val="28"/>
          <w:szCs w:val="28"/>
        </w:rPr>
        <w:t>Rights of Passengers travelling by Bus and Coach</w:t>
      </w:r>
    </w:p>
    <w:p w14:paraId="181AA336" w14:textId="77777777" w:rsidR="00D461D3" w:rsidRDefault="00D461D3" w:rsidP="00D461D3">
      <w:pPr>
        <w:jc w:val="center"/>
        <w:rPr>
          <w:rFonts w:ascii="Calibri" w:hAnsi="Calibri"/>
          <w:b/>
          <w:sz w:val="28"/>
          <w:szCs w:val="28"/>
        </w:rPr>
      </w:pPr>
      <w:r w:rsidRPr="00252EF4">
        <w:rPr>
          <w:rFonts w:ascii="Calibri" w:hAnsi="Calibri"/>
          <w:b/>
          <w:sz w:val="28"/>
          <w:szCs w:val="28"/>
        </w:rPr>
        <w:t>Regulation (EU) No 181/2011</w:t>
      </w:r>
    </w:p>
    <w:p w14:paraId="50F3FB33" w14:textId="77777777" w:rsidR="00D461D3" w:rsidRDefault="00D461D3" w:rsidP="00D461D3"/>
    <w:p w14:paraId="3AF8B04A" w14:textId="77777777" w:rsidR="00D461D3" w:rsidRDefault="00D461D3" w:rsidP="00D461D3"/>
    <w:p w14:paraId="718FDBC6" w14:textId="77777777" w:rsidR="00D461D3" w:rsidRDefault="00D461D3" w:rsidP="00D461D3">
      <w:pPr>
        <w:jc w:val="right"/>
        <w:rPr>
          <w:rFonts w:ascii="Calibri" w:hAnsi="Calibri"/>
          <w:b/>
          <w:sz w:val="28"/>
          <w:szCs w:val="28"/>
        </w:rPr>
      </w:pPr>
    </w:p>
    <w:p w14:paraId="36EF336A" w14:textId="77777777" w:rsidR="00D461D3" w:rsidRDefault="00D461D3" w:rsidP="00D461D3">
      <w:pPr>
        <w:jc w:val="right"/>
        <w:rPr>
          <w:rFonts w:ascii="Calibri" w:hAnsi="Calibri"/>
          <w:b/>
          <w:sz w:val="28"/>
          <w:szCs w:val="28"/>
        </w:rPr>
      </w:pPr>
    </w:p>
    <w:p w14:paraId="11944659" w14:textId="77777777" w:rsidR="00D461D3" w:rsidRDefault="00D461D3" w:rsidP="00D461D3">
      <w:pPr>
        <w:jc w:val="right"/>
        <w:rPr>
          <w:rFonts w:ascii="Calibri" w:hAnsi="Calibri"/>
          <w:b/>
          <w:sz w:val="28"/>
          <w:szCs w:val="28"/>
        </w:rPr>
      </w:pPr>
    </w:p>
    <w:p w14:paraId="005B79D6" w14:textId="77777777" w:rsidR="00D461D3" w:rsidRDefault="00D461D3" w:rsidP="00D461D3">
      <w:pPr>
        <w:jc w:val="right"/>
        <w:rPr>
          <w:rFonts w:ascii="Calibri" w:hAnsi="Calibri"/>
          <w:b/>
          <w:sz w:val="28"/>
          <w:szCs w:val="28"/>
        </w:rPr>
      </w:pPr>
    </w:p>
    <w:p w14:paraId="505DAE61" w14:textId="77777777" w:rsidR="00D461D3" w:rsidRDefault="00D461D3" w:rsidP="00D461D3">
      <w:pPr>
        <w:jc w:val="right"/>
        <w:rPr>
          <w:rFonts w:ascii="Calibri" w:hAnsi="Calibri"/>
          <w:b/>
          <w:sz w:val="28"/>
          <w:szCs w:val="28"/>
        </w:rPr>
      </w:pPr>
    </w:p>
    <w:p w14:paraId="34F79C74" w14:textId="77777777" w:rsidR="00D461D3" w:rsidRDefault="00D461D3" w:rsidP="00D461D3">
      <w:pPr>
        <w:jc w:val="right"/>
        <w:rPr>
          <w:rFonts w:ascii="Calibri" w:hAnsi="Calibri"/>
          <w:b/>
          <w:sz w:val="28"/>
          <w:szCs w:val="28"/>
        </w:rPr>
      </w:pPr>
    </w:p>
    <w:p w14:paraId="1A39CE82" w14:textId="480A4231" w:rsidR="00D461D3" w:rsidRPr="00A514F6" w:rsidRDefault="00425198" w:rsidP="00D461D3">
      <w:pPr>
        <w:jc w:val="right"/>
        <w:rPr>
          <w:rFonts w:ascii="Calibri" w:hAnsi="Calibri"/>
          <w:b/>
          <w:sz w:val="28"/>
          <w:szCs w:val="28"/>
        </w:rPr>
      </w:pPr>
      <w:r>
        <w:rPr>
          <w:rFonts w:ascii="Calibri" w:hAnsi="Calibri"/>
          <w:b/>
          <w:sz w:val="28"/>
          <w:szCs w:val="28"/>
        </w:rPr>
        <w:t>November</w:t>
      </w:r>
      <w:r w:rsidR="00C50ED3">
        <w:rPr>
          <w:rFonts w:ascii="Calibri" w:hAnsi="Calibri"/>
          <w:b/>
          <w:sz w:val="28"/>
          <w:szCs w:val="28"/>
        </w:rPr>
        <w:t xml:space="preserve"> 2021</w:t>
      </w:r>
    </w:p>
    <w:p w14:paraId="36B405D4" w14:textId="77777777" w:rsidR="00D461D3" w:rsidRPr="00232B19" w:rsidRDefault="00D461D3" w:rsidP="00D461D3">
      <w:pPr>
        <w:pStyle w:val="TOCHeading"/>
        <w:rPr>
          <w:rFonts w:ascii="Calibri" w:hAnsi="Calibri" w:cs="Calibri"/>
          <w:sz w:val="28"/>
          <w:szCs w:val="28"/>
          <w:lang w:val="en-IE"/>
        </w:rPr>
      </w:pPr>
      <w:r w:rsidRPr="00232B19">
        <w:rPr>
          <w:rFonts w:ascii="Calibri" w:hAnsi="Calibri" w:cs="Calibri"/>
          <w:sz w:val="28"/>
          <w:szCs w:val="28"/>
          <w:lang w:val="en-IE"/>
        </w:rPr>
        <w:t>Contents</w:t>
      </w:r>
    </w:p>
    <w:p w14:paraId="33505D20" w14:textId="77777777" w:rsidR="00D461D3" w:rsidRPr="00232B19" w:rsidRDefault="00D461D3" w:rsidP="00D461D3">
      <w:pPr>
        <w:rPr>
          <w:rFonts w:ascii="Calibri" w:hAnsi="Calibri"/>
          <w:lang w:val="en-IE" w:eastAsia="ja-JP"/>
        </w:rPr>
      </w:pPr>
    </w:p>
    <w:p w14:paraId="2D115690" w14:textId="77777777" w:rsidR="00D461D3" w:rsidRDefault="00D461D3" w:rsidP="00D461D3">
      <w:pPr>
        <w:jc w:val="left"/>
        <w:rPr>
          <w:rFonts w:eastAsia="Calibri"/>
          <w:noProof/>
        </w:rPr>
      </w:pPr>
      <w:r>
        <w:rPr>
          <w:rFonts w:eastAsia="Calibri"/>
          <w:noProof/>
        </w:rPr>
        <w:t>Introduction………………………………………………………………….…</w:t>
      </w:r>
      <w:r w:rsidR="00383E7C">
        <w:rPr>
          <w:rFonts w:eastAsia="Calibri"/>
          <w:noProof/>
        </w:rPr>
        <w:t>3</w:t>
      </w:r>
    </w:p>
    <w:p w14:paraId="0D32A629" w14:textId="77777777" w:rsidR="00D461D3" w:rsidRDefault="00D461D3" w:rsidP="00D461D3">
      <w:pPr>
        <w:jc w:val="left"/>
        <w:rPr>
          <w:rFonts w:eastAsia="Calibri"/>
          <w:noProof/>
        </w:rPr>
      </w:pPr>
      <w:r>
        <w:rPr>
          <w:rFonts w:eastAsia="Calibri"/>
          <w:noProof/>
        </w:rPr>
        <w:t>The Irish National Enf</w:t>
      </w:r>
      <w:r w:rsidR="00D159C0">
        <w:rPr>
          <w:rFonts w:eastAsia="Calibri"/>
          <w:noProof/>
        </w:rPr>
        <w:t xml:space="preserve">orcement Body……………………….……………….. </w:t>
      </w:r>
      <w:r>
        <w:rPr>
          <w:rFonts w:eastAsia="Calibri"/>
          <w:noProof/>
        </w:rPr>
        <w:t>3</w:t>
      </w:r>
      <w:r>
        <w:rPr>
          <w:rFonts w:eastAsia="Calibri"/>
          <w:noProof/>
        </w:rPr>
        <w:tab/>
      </w:r>
    </w:p>
    <w:p w14:paraId="6B1D302F" w14:textId="77777777" w:rsidR="00D461D3" w:rsidRDefault="00D461D3" w:rsidP="00D461D3">
      <w:pPr>
        <w:jc w:val="left"/>
        <w:rPr>
          <w:rFonts w:eastAsia="Calibri"/>
          <w:noProof/>
        </w:rPr>
      </w:pPr>
      <w:r>
        <w:rPr>
          <w:rFonts w:eastAsia="Calibri"/>
          <w:noProof/>
        </w:rPr>
        <w:t xml:space="preserve">The Bus Market </w:t>
      </w:r>
      <w:r w:rsidR="00D159C0">
        <w:rPr>
          <w:rFonts w:eastAsia="Calibri"/>
          <w:noProof/>
        </w:rPr>
        <w:t xml:space="preserve">in Ireland………………………………………………….… </w:t>
      </w:r>
      <w:r>
        <w:rPr>
          <w:rFonts w:eastAsia="Calibri"/>
          <w:noProof/>
        </w:rPr>
        <w:t>4</w:t>
      </w:r>
    </w:p>
    <w:p w14:paraId="59CE6B3E" w14:textId="6F435C22" w:rsidR="00E47618" w:rsidRDefault="00E47618" w:rsidP="00D461D3">
      <w:pPr>
        <w:jc w:val="left"/>
        <w:rPr>
          <w:rFonts w:eastAsia="Calibri"/>
          <w:noProof/>
        </w:rPr>
      </w:pPr>
      <w:r>
        <w:rPr>
          <w:rFonts w:eastAsia="Calibri"/>
          <w:noProof/>
        </w:rPr>
        <w:t>Passenger Rights……………………………………………………………….</w:t>
      </w:r>
      <w:r w:rsidR="00DA7024">
        <w:rPr>
          <w:rFonts w:eastAsia="Calibri"/>
          <w:noProof/>
        </w:rPr>
        <w:t>6</w:t>
      </w:r>
    </w:p>
    <w:p w14:paraId="5EF50037" w14:textId="77777777" w:rsidR="00D461D3" w:rsidRDefault="00D461D3" w:rsidP="00D461D3">
      <w:pPr>
        <w:jc w:val="left"/>
        <w:rPr>
          <w:rFonts w:eastAsia="Calibri"/>
          <w:noProof/>
        </w:rPr>
      </w:pPr>
      <w:r>
        <w:rPr>
          <w:rFonts w:eastAsia="Calibri"/>
          <w:noProof/>
        </w:rPr>
        <w:t>Complaint Ha</w:t>
      </w:r>
      <w:r w:rsidR="00F41DF2">
        <w:rPr>
          <w:rFonts w:eastAsia="Calibri"/>
          <w:noProof/>
        </w:rPr>
        <w:t>ndling…………………………………………………………...</w:t>
      </w:r>
      <w:r w:rsidR="00D159C0">
        <w:rPr>
          <w:rFonts w:eastAsia="Calibri"/>
          <w:noProof/>
        </w:rPr>
        <w:t xml:space="preserve"> </w:t>
      </w:r>
      <w:r w:rsidR="00F41DF2">
        <w:rPr>
          <w:rFonts w:eastAsia="Calibri"/>
          <w:noProof/>
        </w:rPr>
        <w:t>6</w:t>
      </w:r>
    </w:p>
    <w:p w14:paraId="78161DE3" w14:textId="75DF024B" w:rsidR="006A4A4D" w:rsidRDefault="00D461D3" w:rsidP="00D461D3">
      <w:pPr>
        <w:jc w:val="left"/>
        <w:rPr>
          <w:rFonts w:eastAsia="Calibri"/>
          <w:noProof/>
        </w:rPr>
      </w:pPr>
      <w:r>
        <w:rPr>
          <w:rFonts w:eastAsia="Calibri"/>
          <w:noProof/>
        </w:rPr>
        <w:t>Guidance and Enf</w:t>
      </w:r>
      <w:r w:rsidR="00D159C0">
        <w:rPr>
          <w:rFonts w:eastAsia="Calibri"/>
          <w:noProof/>
        </w:rPr>
        <w:t xml:space="preserve">orcement………………………………………………….... </w:t>
      </w:r>
      <w:r w:rsidR="00DA7024">
        <w:rPr>
          <w:rFonts w:eastAsia="Calibri"/>
          <w:noProof/>
        </w:rPr>
        <w:t>7</w:t>
      </w:r>
    </w:p>
    <w:p w14:paraId="03857A7D" w14:textId="77777777" w:rsidR="006A4A4D" w:rsidRDefault="006A4A4D" w:rsidP="006A4A4D">
      <w:pPr>
        <w:jc w:val="left"/>
        <w:rPr>
          <w:rFonts w:eastAsia="Calibri"/>
          <w:noProof/>
        </w:rPr>
      </w:pPr>
      <w:r>
        <w:rPr>
          <w:rFonts w:eastAsia="Calibri"/>
          <w:noProof/>
        </w:rPr>
        <w:t>Accessibility……………………………………………………………………7</w:t>
      </w:r>
    </w:p>
    <w:p w14:paraId="32B8CBFA" w14:textId="77777777" w:rsidR="00D461D3" w:rsidRPr="00232B19" w:rsidRDefault="006A4A4D" w:rsidP="00D461D3">
      <w:pPr>
        <w:jc w:val="left"/>
        <w:rPr>
          <w:rFonts w:eastAsia="Calibri"/>
          <w:noProof/>
        </w:rPr>
      </w:pPr>
      <w:r>
        <w:rPr>
          <w:rFonts w:eastAsia="Calibri"/>
          <w:noProof/>
        </w:rPr>
        <w:t xml:space="preserve"> </w:t>
      </w:r>
      <w:r w:rsidR="00D461D3">
        <w:rPr>
          <w:rFonts w:eastAsia="Calibri"/>
          <w:noProof/>
        </w:rPr>
        <w:tab/>
      </w:r>
      <w:r w:rsidR="00D461D3">
        <w:rPr>
          <w:rFonts w:eastAsia="Calibri"/>
          <w:noProof/>
        </w:rPr>
        <w:tab/>
      </w:r>
      <w:r w:rsidR="00D461D3">
        <w:rPr>
          <w:rFonts w:eastAsia="Calibri"/>
          <w:noProof/>
        </w:rPr>
        <w:tab/>
      </w:r>
      <w:r w:rsidR="00D461D3">
        <w:rPr>
          <w:rFonts w:eastAsia="Calibri"/>
          <w:noProof/>
        </w:rPr>
        <w:tab/>
      </w:r>
    </w:p>
    <w:p w14:paraId="767602FE" w14:textId="77777777" w:rsidR="00D461D3" w:rsidRPr="00A514F6" w:rsidRDefault="00D461D3" w:rsidP="00D461D3">
      <w:pPr>
        <w:jc w:val="right"/>
        <w:rPr>
          <w:rFonts w:ascii="Calibri" w:hAnsi="Calibri"/>
          <w:b/>
          <w:sz w:val="28"/>
          <w:szCs w:val="28"/>
        </w:rPr>
      </w:pPr>
      <w:r w:rsidRPr="00A514F6">
        <w:rPr>
          <w:rFonts w:ascii="Calibri" w:hAnsi="Calibri"/>
          <w:b/>
          <w:sz w:val="28"/>
          <w:szCs w:val="28"/>
        </w:rPr>
        <w:br w:type="page"/>
      </w:r>
    </w:p>
    <w:p w14:paraId="285DCDED" w14:textId="77777777" w:rsidR="00217586" w:rsidRPr="00252EF4" w:rsidRDefault="00217586" w:rsidP="00B2586F">
      <w:pPr>
        <w:spacing w:after="0"/>
        <w:jc w:val="left"/>
        <w:rPr>
          <w:rFonts w:ascii="Calibri" w:hAnsi="Calibri"/>
          <w:b/>
          <w:szCs w:val="24"/>
        </w:rPr>
      </w:pPr>
      <w:r w:rsidRPr="00252EF4">
        <w:rPr>
          <w:rFonts w:ascii="Calibri" w:hAnsi="Calibri"/>
          <w:b/>
          <w:szCs w:val="24"/>
        </w:rPr>
        <w:t>Introduction</w:t>
      </w:r>
    </w:p>
    <w:p w14:paraId="31B1B61F" w14:textId="77777777" w:rsidR="00217586" w:rsidRDefault="00217586" w:rsidP="00217586">
      <w:pPr>
        <w:rPr>
          <w:rFonts w:ascii="Calibri" w:hAnsi="Calibri"/>
          <w:sz w:val="22"/>
          <w:szCs w:val="22"/>
        </w:rPr>
      </w:pPr>
      <w:r w:rsidRPr="00252EF4">
        <w:rPr>
          <w:rFonts w:ascii="Calibri" w:hAnsi="Calibri"/>
          <w:sz w:val="22"/>
          <w:szCs w:val="22"/>
        </w:rPr>
        <w:t xml:space="preserve">Under the provisions of Article 29 of the Regulation (EU) 181/2011, the National Enforcement Bodies (NEBs) of each EU Member State are required to publish a report on their activities in the previous </w:t>
      </w:r>
      <w:r w:rsidR="00B53E61">
        <w:rPr>
          <w:rFonts w:ascii="Calibri" w:hAnsi="Calibri"/>
          <w:sz w:val="22"/>
          <w:szCs w:val="22"/>
        </w:rPr>
        <w:t>two</w:t>
      </w:r>
      <w:r w:rsidRPr="00252EF4">
        <w:rPr>
          <w:rFonts w:ascii="Calibri" w:hAnsi="Calibri"/>
          <w:sz w:val="22"/>
          <w:szCs w:val="22"/>
        </w:rPr>
        <w:t xml:space="preserve"> calendar years.  </w:t>
      </w:r>
    </w:p>
    <w:p w14:paraId="09A47F82" w14:textId="60636BA5" w:rsidR="00AC076F" w:rsidRDefault="00217586" w:rsidP="00217586">
      <w:pPr>
        <w:rPr>
          <w:rFonts w:ascii="Calibri" w:hAnsi="Calibri"/>
          <w:sz w:val="22"/>
          <w:szCs w:val="22"/>
        </w:rPr>
      </w:pPr>
      <w:r w:rsidRPr="00252EF4">
        <w:rPr>
          <w:rFonts w:ascii="Calibri" w:hAnsi="Calibri"/>
          <w:sz w:val="22"/>
          <w:szCs w:val="22"/>
        </w:rPr>
        <w:t xml:space="preserve">The National Transport Authority </w:t>
      </w:r>
      <w:r w:rsidR="00B722BD">
        <w:rPr>
          <w:rFonts w:ascii="Calibri" w:hAnsi="Calibri"/>
          <w:sz w:val="22"/>
          <w:szCs w:val="22"/>
        </w:rPr>
        <w:t xml:space="preserve">(NTA) </w:t>
      </w:r>
      <w:r w:rsidRPr="00252EF4">
        <w:rPr>
          <w:rFonts w:ascii="Calibri" w:hAnsi="Calibri"/>
          <w:sz w:val="22"/>
          <w:szCs w:val="22"/>
        </w:rPr>
        <w:t xml:space="preserve">is the designated </w:t>
      </w:r>
      <w:r w:rsidR="008A6373">
        <w:rPr>
          <w:rFonts w:ascii="Calibri" w:hAnsi="Calibri"/>
          <w:sz w:val="22"/>
          <w:szCs w:val="22"/>
        </w:rPr>
        <w:t>NEB</w:t>
      </w:r>
      <w:r w:rsidRPr="00252EF4">
        <w:rPr>
          <w:rFonts w:ascii="Calibri" w:hAnsi="Calibri"/>
          <w:sz w:val="22"/>
          <w:szCs w:val="22"/>
        </w:rPr>
        <w:t xml:space="preserve"> for </w:t>
      </w:r>
      <w:r w:rsidR="00425198">
        <w:rPr>
          <w:rFonts w:ascii="Calibri" w:hAnsi="Calibri"/>
          <w:sz w:val="22"/>
          <w:szCs w:val="22"/>
        </w:rPr>
        <w:t>Bus and Coach Passenger R</w:t>
      </w:r>
      <w:r w:rsidRPr="00252EF4">
        <w:rPr>
          <w:rFonts w:ascii="Calibri" w:hAnsi="Calibri"/>
          <w:sz w:val="22"/>
          <w:szCs w:val="22"/>
        </w:rPr>
        <w:t xml:space="preserve">ights in Ireland.  The NTA’s role as the Irish NEB is prescribed in national regulations (S.I. no 152 of 2013).  These regulations also set out the penalties that can be imposed in cases of non-compliance </w:t>
      </w:r>
    </w:p>
    <w:p w14:paraId="06BC5334" w14:textId="77777777" w:rsidR="00EA4D09" w:rsidRDefault="00217586" w:rsidP="00217586">
      <w:pPr>
        <w:rPr>
          <w:rFonts w:ascii="Calibri" w:hAnsi="Calibri"/>
          <w:sz w:val="22"/>
          <w:szCs w:val="22"/>
        </w:rPr>
      </w:pPr>
      <w:r w:rsidRPr="00252EF4">
        <w:rPr>
          <w:rFonts w:ascii="Calibri" w:hAnsi="Calibri"/>
          <w:sz w:val="22"/>
          <w:szCs w:val="22"/>
        </w:rPr>
        <w:t>No sanctions have been imposed to date – complaints have been resolved with the operator without the need for infringement notices or fines.  Ireland has not applied for any exemption under Articles 2(4) and 2(5) of the Regulation</w:t>
      </w:r>
      <w:r>
        <w:rPr>
          <w:rFonts w:ascii="Calibri" w:hAnsi="Calibri"/>
          <w:sz w:val="22"/>
          <w:szCs w:val="22"/>
        </w:rPr>
        <w:t>.</w:t>
      </w:r>
    </w:p>
    <w:p w14:paraId="01D0B57B" w14:textId="77777777" w:rsidR="00EA4D09" w:rsidRPr="00EA4D09" w:rsidRDefault="00EA4D09" w:rsidP="00B2586F">
      <w:pPr>
        <w:spacing w:after="0"/>
        <w:jc w:val="left"/>
        <w:rPr>
          <w:rFonts w:ascii="Calibri" w:hAnsi="Calibri"/>
          <w:b/>
          <w:szCs w:val="24"/>
        </w:rPr>
      </w:pPr>
      <w:r w:rsidRPr="00EA4D09">
        <w:rPr>
          <w:rFonts w:ascii="Calibri" w:hAnsi="Calibri"/>
          <w:b/>
          <w:szCs w:val="24"/>
        </w:rPr>
        <w:t>The Irish National Enforcement Body</w:t>
      </w:r>
    </w:p>
    <w:p w14:paraId="3ECEDD04" w14:textId="77777777" w:rsidR="00EA4D09" w:rsidRPr="00EA4D09" w:rsidRDefault="00EA4D09" w:rsidP="00EA4D09">
      <w:pPr>
        <w:rPr>
          <w:rFonts w:ascii="Calibri" w:hAnsi="Calibri" w:cs="Calibri"/>
          <w:sz w:val="22"/>
          <w:szCs w:val="22"/>
        </w:rPr>
      </w:pPr>
      <w:r w:rsidRPr="00EA4D09">
        <w:rPr>
          <w:rFonts w:ascii="Calibri" w:hAnsi="Calibri" w:cs="Calibri"/>
          <w:sz w:val="22"/>
          <w:szCs w:val="22"/>
        </w:rPr>
        <w:t xml:space="preserve">The </w:t>
      </w:r>
      <w:r w:rsidR="00B722BD">
        <w:rPr>
          <w:rFonts w:ascii="Calibri" w:hAnsi="Calibri" w:cs="Calibri"/>
          <w:sz w:val="22"/>
          <w:szCs w:val="22"/>
        </w:rPr>
        <w:t>NTA</w:t>
      </w:r>
      <w:r w:rsidRPr="00EA4D09">
        <w:rPr>
          <w:rFonts w:ascii="Calibri" w:hAnsi="Calibri" w:cs="Calibri"/>
          <w:sz w:val="22"/>
          <w:szCs w:val="22"/>
        </w:rPr>
        <w:t xml:space="preserve"> is a statutory body established by the Minister for Transport on 1 December 2009.   The </w:t>
      </w:r>
      <w:r w:rsidR="00B722BD">
        <w:rPr>
          <w:rFonts w:ascii="Calibri" w:hAnsi="Calibri" w:cs="Calibri"/>
          <w:sz w:val="22"/>
          <w:szCs w:val="22"/>
        </w:rPr>
        <w:t>NTA’s</w:t>
      </w:r>
      <w:r w:rsidR="00B722BD" w:rsidRPr="00EA4D09">
        <w:rPr>
          <w:rFonts w:ascii="Calibri" w:hAnsi="Calibri" w:cs="Calibri"/>
          <w:sz w:val="22"/>
          <w:szCs w:val="22"/>
        </w:rPr>
        <w:t xml:space="preserve"> </w:t>
      </w:r>
      <w:r w:rsidRPr="00EA4D09">
        <w:rPr>
          <w:rFonts w:ascii="Calibri" w:hAnsi="Calibri" w:cs="Calibri"/>
          <w:sz w:val="22"/>
          <w:szCs w:val="22"/>
        </w:rPr>
        <w:t xml:space="preserve">remit is provided for under the Dublin Transport Authority Act 2008, the Public Transport Regulation Act 2009 and the Taxi Regulation Act (2013) for securing the provision of public passenger land transport services, licensing of public bus passenger services, regulation of the small public service vehicle sector, the provision and operation of a smartcard integrated ticketing scheme and integrated information schemes for public transport and all associated administrative activities. The </w:t>
      </w:r>
      <w:r w:rsidR="00B722BD">
        <w:rPr>
          <w:rFonts w:ascii="Calibri" w:hAnsi="Calibri" w:cs="Calibri"/>
          <w:sz w:val="22"/>
          <w:szCs w:val="22"/>
        </w:rPr>
        <w:t>NTA</w:t>
      </w:r>
      <w:r w:rsidR="00B722BD" w:rsidRPr="00EA4D09">
        <w:rPr>
          <w:rFonts w:ascii="Calibri" w:hAnsi="Calibri" w:cs="Calibri"/>
          <w:sz w:val="22"/>
          <w:szCs w:val="22"/>
        </w:rPr>
        <w:t xml:space="preserve"> </w:t>
      </w:r>
      <w:r w:rsidRPr="00EA4D09">
        <w:rPr>
          <w:rFonts w:ascii="Calibri" w:hAnsi="Calibri" w:cs="Calibri"/>
          <w:sz w:val="22"/>
          <w:szCs w:val="22"/>
        </w:rPr>
        <w:t xml:space="preserve">is also the national enforcement body responsible for the rights of passenger travelling by rail or on sea </w:t>
      </w:r>
      <w:r w:rsidR="0077234B">
        <w:rPr>
          <w:rFonts w:ascii="Calibri" w:hAnsi="Calibri" w:cs="Calibri"/>
          <w:sz w:val="22"/>
          <w:szCs w:val="22"/>
        </w:rPr>
        <w:t>and inland waterways</w:t>
      </w:r>
      <w:r w:rsidRPr="00EA4D09">
        <w:rPr>
          <w:rFonts w:ascii="Calibri" w:hAnsi="Calibri" w:cs="Calibri"/>
          <w:sz w:val="22"/>
          <w:szCs w:val="22"/>
        </w:rPr>
        <w:t xml:space="preserve"> and bus and coach.  The </w:t>
      </w:r>
      <w:r w:rsidR="00B53E61">
        <w:rPr>
          <w:rFonts w:ascii="Calibri" w:hAnsi="Calibri" w:cs="Calibri"/>
          <w:sz w:val="22"/>
          <w:szCs w:val="22"/>
        </w:rPr>
        <w:t>C</w:t>
      </w:r>
      <w:r w:rsidRPr="00EA4D09">
        <w:rPr>
          <w:rFonts w:ascii="Calibri" w:hAnsi="Calibri" w:cs="Calibri"/>
          <w:sz w:val="22"/>
          <w:szCs w:val="22"/>
        </w:rPr>
        <w:t xml:space="preserve">ommission for </w:t>
      </w:r>
      <w:r w:rsidR="00B53E61">
        <w:rPr>
          <w:rFonts w:ascii="Calibri" w:hAnsi="Calibri" w:cs="Calibri"/>
          <w:sz w:val="22"/>
          <w:szCs w:val="22"/>
        </w:rPr>
        <w:t>A</w:t>
      </w:r>
      <w:r w:rsidRPr="00EA4D09">
        <w:rPr>
          <w:rFonts w:ascii="Calibri" w:hAnsi="Calibri" w:cs="Calibri"/>
          <w:sz w:val="22"/>
          <w:szCs w:val="22"/>
        </w:rPr>
        <w:t xml:space="preserve">viation </w:t>
      </w:r>
      <w:r w:rsidR="00B53E61">
        <w:rPr>
          <w:rFonts w:ascii="Calibri" w:hAnsi="Calibri" w:cs="Calibri"/>
          <w:sz w:val="22"/>
          <w:szCs w:val="22"/>
        </w:rPr>
        <w:t>R</w:t>
      </w:r>
      <w:r w:rsidRPr="00EA4D09">
        <w:rPr>
          <w:rFonts w:ascii="Calibri" w:hAnsi="Calibri" w:cs="Calibri"/>
          <w:sz w:val="22"/>
          <w:szCs w:val="22"/>
        </w:rPr>
        <w:t>egulation is responsible for air passenger rights in Ireland.</w:t>
      </w:r>
    </w:p>
    <w:p w14:paraId="2101B82D" w14:textId="77777777" w:rsidR="00EA4D09" w:rsidRPr="00EA4D09" w:rsidRDefault="00EA4D09" w:rsidP="00EA4D09">
      <w:pPr>
        <w:tabs>
          <w:tab w:val="left" w:pos="720"/>
          <w:tab w:val="left" w:pos="4320"/>
        </w:tabs>
        <w:spacing w:after="0"/>
        <w:rPr>
          <w:rFonts w:ascii="Calibri" w:hAnsi="Calibri" w:cs="Calibri"/>
          <w:sz w:val="22"/>
          <w:szCs w:val="22"/>
        </w:rPr>
      </w:pPr>
      <w:r w:rsidRPr="00EA4D09">
        <w:rPr>
          <w:rFonts w:ascii="Calibri" w:hAnsi="Calibri" w:cs="Calibri"/>
          <w:sz w:val="22"/>
          <w:szCs w:val="22"/>
        </w:rPr>
        <w:t xml:space="preserve">The NTA also has responsibility for the development of an integrated transport system within the </w:t>
      </w:r>
      <w:hyperlink r:id="rId9" w:anchor="gda" w:history="1">
        <w:r w:rsidRPr="00EA4D09">
          <w:rPr>
            <w:rFonts w:ascii="Calibri" w:hAnsi="Calibri" w:cs="Calibri"/>
            <w:color w:val="0000FF"/>
            <w:sz w:val="22"/>
            <w:szCs w:val="22"/>
            <w:u w:val="single"/>
          </w:rPr>
          <w:t>Greater Dublin Area</w:t>
        </w:r>
      </w:hyperlink>
      <w:r w:rsidRPr="00EA4D09">
        <w:rPr>
          <w:rFonts w:ascii="Calibri" w:hAnsi="Calibri" w:cs="Calibri"/>
          <w:sz w:val="22"/>
          <w:szCs w:val="22"/>
        </w:rPr>
        <w:t xml:space="preserve"> (GDA). The principal functions of the NTA with respect to the GDA are:</w:t>
      </w:r>
    </w:p>
    <w:p w14:paraId="5A035908" w14:textId="77777777" w:rsidR="00EA4D09" w:rsidRPr="00EA4D09" w:rsidRDefault="00EA4D09" w:rsidP="00EA4D09">
      <w:pPr>
        <w:tabs>
          <w:tab w:val="left" w:pos="720"/>
          <w:tab w:val="left" w:pos="4320"/>
        </w:tabs>
        <w:spacing w:after="0"/>
        <w:rPr>
          <w:rFonts w:ascii="Calibri" w:hAnsi="Calibri" w:cs="Calibri"/>
          <w:sz w:val="22"/>
          <w:szCs w:val="22"/>
        </w:rPr>
      </w:pPr>
    </w:p>
    <w:p w14:paraId="4D7B7B12" w14:textId="77777777" w:rsidR="00EA4D09" w:rsidRPr="00EA4D09" w:rsidRDefault="00EA4D09" w:rsidP="00EA4D09">
      <w:pPr>
        <w:numPr>
          <w:ilvl w:val="0"/>
          <w:numId w:val="3"/>
        </w:numPr>
        <w:tabs>
          <w:tab w:val="left" w:pos="720"/>
          <w:tab w:val="left" w:pos="4320"/>
        </w:tabs>
        <w:spacing w:after="0"/>
        <w:jc w:val="left"/>
        <w:rPr>
          <w:rFonts w:ascii="Calibri" w:hAnsi="Calibri" w:cs="Calibri"/>
          <w:sz w:val="22"/>
          <w:szCs w:val="22"/>
        </w:rPr>
      </w:pPr>
      <w:r>
        <w:rPr>
          <w:rFonts w:ascii="Calibri" w:hAnsi="Calibri" w:cs="Calibri"/>
          <w:sz w:val="22"/>
          <w:szCs w:val="22"/>
        </w:rPr>
        <w:t>S</w:t>
      </w:r>
      <w:r w:rsidRPr="00EA4D09">
        <w:rPr>
          <w:rFonts w:ascii="Calibri" w:hAnsi="Calibri" w:cs="Calibri"/>
          <w:sz w:val="22"/>
          <w:szCs w:val="22"/>
        </w:rPr>
        <w:t>trategic planning of transport;</w:t>
      </w:r>
    </w:p>
    <w:p w14:paraId="152D4259" w14:textId="77777777" w:rsidR="00EA4D09" w:rsidRPr="00EA4D09" w:rsidRDefault="00EA4D09" w:rsidP="00EA4D09">
      <w:pPr>
        <w:numPr>
          <w:ilvl w:val="0"/>
          <w:numId w:val="3"/>
        </w:numPr>
        <w:tabs>
          <w:tab w:val="left" w:pos="720"/>
          <w:tab w:val="left" w:pos="4320"/>
        </w:tabs>
        <w:spacing w:after="0"/>
        <w:jc w:val="left"/>
        <w:rPr>
          <w:rFonts w:ascii="Calibri" w:hAnsi="Calibri" w:cs="Calibri"/>
          <w:sz w:val="22"/>
          <w:szCs w:val="22"/>
        </w:rPr>
      </w:pPr>
      <w:r>
        <w:rPr>
          <w:rFonts w:ascii="Calibri" w:hAnsi="Calibri" w:cs="Calibri"/>
          <w:sz w:val="22"/>
          <w:szCs w:val="22"/>
        </w:rPr>
        <w:t>D</w:t>
      </w:r>
      <w:r w:rsidRPr="00EA4D09">
        <w:rPr>
          <w:rFonts w:ascii="Calibri" w:hAnsi="Calibri" w:cs="Calibri"/>
          <w:sz w:val="22"/>
          <w:szCs w:val="22"/>
        </w:rPr>
        <w:t>evelopment of an integrated, accessible public transport network;</w:t>
      </w:r>
    </w:p>
    <w:p w14:paraId="04571DE3" w14:textId="77777777" w:rsidR="00EA4D09" w:rsidRPr="00EA4D09" w:rsidRDefault="00EA4D09" w:rsidP="00EA4D09">
      <w:pPr>
        <w:numPr>
          <w:ilvl w:val="0"/>
          <w:numId w:val="3"/>
        </w:numPr>
        <w:tabs>
          <w:tab w:val="left" w:pos="720"/>
          <w:tab w:val="left" w:pos="4320"/>
        </w:tabs>
        <w:spacing w:after="0"/>
        <w:jc w:val="left"/>
        <w:rPr>
          <w:rFonts w:ascii="Calibri" w:hAnsi="Calibri" w:cs="Calibri"/>
          <w:sz w:val="22"/>
          <w:szCs w:val="22"/>
        </w:rPr>
      </w:pPr>
      <w:r>
        <w:rPr>
          <w:rFonts w:ascii="Calibri" w:hAnsi="Calibri" w:cs="Calibri"/>
          <w:sz w:val="22"/>
          <w:szCs w:val="22"/>
        </w:rPr>
        <w:t>P</w:t>
      </w:r>
      <w:r w:rsidRPr="00EA4D09">
        <w:rPr>
          <w:rFonts w:ascii="Calibri" w:hAnsi="Calibri" w:cs="Calibri"/>
          <w:sz w:val="22"/>
          <w:szCs w:val="22"/>
        </w:rPr>
        <w:t>romoting cycling and walking;</w:t>
      </w:r>
    </w:p>
    <w:p w14:paraId="1D2240DE" w14:textId="77777777" w:rsidR="00EA4D09" w:rsidRPr="00EA4D09" w:rsidRDefault="00EA4D09" w:rsidP="00EA4D09">
      <w:pPr>
        <w:numPr>
          <w:ilvl w:val="0"/>
          <w:numId w:val="3"/>
        </w:numPr>
        <w:tabs>
          <w:tab w:val="left" w:pos="720"/>
          <w:tab w:val="left" w:pos="4320"/>
        </w:tabs>
        <w:spacing w:after="0"/>
        <w:jc w:val="left"/>
        <w:rPr>
          <w:rFonts w:ascii="Calibri" w:hAnsi="Calibri" w:cs="Calibri"/>
          <w:sz w:val="22"/>
          <w:szCs w:val="22"/>
        </w:rPr>
      </w:pPr>
      <w:r>
        <w:rPr>
          <w:rFonts w:ascii="Calibri" w:hAnsi="Calibri" w:cs="Calibri"/>
          <w:sz w:val="22"/>
          <w:szCs w:val="22"/>
        </w:rPr>
        <w:t>P</w:t>
      </w:r>
      <w:r w:rsidRPr="00EA4D09">
        <w:rPr>
          <w:rFonts w:ascii="Calibri" w:hAnsi="Calibri" w:cs="Calibri"/>
          <w:sz w:val="22"/>
          <w:szCs w:val="22"/>
        </w:rPr>
        <w:t>rovision of public transport infrastructure generally including light rail, metro and heavy rail;</w:t>
      </w:r>
    </w:p>
    <w:p w14:paraId="461F4F5A" w14:textId="77777777" w:rsidR="00EA4D09" w:rsidRPr="00EA4D09" w:rsidRDefault="00EA4D09" w:rsidP="00EA4D09">
      <w:pPr>
        <w:numPr>
          <w:ilvl w:val="0"/>
          <w:numId w:val="3"/>
        </w:numPr>
        <w:tabs>
          <w:tab w:val="left" w:pos="720"/>
          <w:tab w:val="left" w:pos="4320"/>
        </w:tabs>
        <w:spacing w:after="0"/>
        <w:jc w:val="left"/>
        <w:rPr>
          <w:rFonts w:ascii="Calibri" w:hAnsi="Calibri" w:cs="Calibri"/>
          <w:sz w:val="22"/>
          <w:szCs w:val="22"/>
        </w:rPr>
      </w:pPr>
      <w:r>
        <w:rPr>
          <w:rFonts w:ascii="Calibri" w:hAnsi="Calibri" w:cs="Calibri"/>
          <w:sz w:val="22"/>
          <w:szCs w:val="22"/>
        </w:rPr>
        <w:t>E</w:t>
      </w:r>
      <w:r w:rsidRPr="00EA4D09">
        <w:rPr>
          <w:rFonts w:ascii="Calibri" w:hAnsi="Calibri" w:cs="Calibri"/>
          <w:sz w:val="22"/>
          <w:szCs w:val="22"/>
        </w:rPr>
        <w:t>ffective management of traffic and transport demand.</w:t>
      </w:r>
    </w:p>
    <w:p w14:paraId="3A340D35" w14:textId="77777777" w:rsidR="00EA4D09" w:rsidRPr="00EA4D09" w:rsidRDefault="00EA4D09" w:rsidP="00EA4D09">
      <w:pPr>
        <w:tabs>
          <w:tab w:val="left" w:pos="720"/>
          <w:tab w:val="left" w:pos="4320"/>
        </w:tabs>
        <w:spacing w:after="0"/>
        <w:rPr>
          <w:rFonts w:ascii="Calibri" w:hAnsi="Calibri" w:cs="Calibri"/>
          <w:sz w:val="22"/>
          <w:szCs w:val="22"/>
        </w:rPr>
      </w:pPr>
    </w:p>
    <w:p w14:paraId="79EB781A" w14:textId="0E5769EC" w:rsidR="00EA4D09" w:rsidRPr="00EA4D09" w:rsidRDefault="00EA4D09" w:rsidP="00EA4D09">
      <w:pPr>
        <w:tabs>
          <w:tab w:val="left" w:pos="720"/>
          <w:tab w:val="left" w:pos="4320"/>
        </w:tabs>
        <w:spacing w:after="0"/>
        <w:rPr>
          <w:rFonts w:ascii="Calibri" w:hAnsi="Calibri" w:cs="Calibri"/>
          <w:sz w:val="22"/>
          <w:szCs w:val="22"/>
        </w:rPr>
      </w:pPr>
      <w:r w:rsidRPr="00EA4D09">
        <w:rPr>
          <w:rFonts w:ascii="Calibri" w:hAnsi="Calibri" w:cs="Calibri"/>
          <w:sz w:val="22"/>
          <w:szCs w:val="22"/>
        </w:rPr>
        <w:t xml:space="preserve">In addition to its statutory responsibilities, the </w:t>
      </w:r>
      <w:r w:rsidR="00B722BD">
        <w:rPr>
          <w:rFonts w:ascii="Calibri" w:hAnsi="Calibri" w:cs="Calibri"/>
          <w:sz w:val="22"/>
          <w:szCs w:val="22"/>
        </w:rPr>
        <w:t>NTA</w:t>
      </w:r>
      <w:r w:rsidR="00B722BD" w:rsidRPr="00EA4D09">
        <w:rPr>
          <w:rFonts w:ascii="Calibri" w:hAnsi="Calibri" w:cs="Calibri"/>
          <w:sz w:val="22"/>
          <w:szCs w:val="22"/>
        </w:rPr>
        <w:t xml:space="preserve"> </w:t>
      </w:r>
      <w:r w:rsidRPr="00EA4D09">
        <w:rPr>
          <w:rFonts w:ascii="Calibri" w:hAnsi="Calibri" w:cs="Calibri"/>
          <w:sz w:val="22"/>
          <w:szCs w:val="22"/>
        </w:rPr>
        <w:t>has various arrangements with the Department of Transport to discharge functions on its behalf with regard to the following:</w:t>
      </w:r>
    </w:p>
    <w:p w14:paraId="596B7315" w14:textId="77777777" w:rsidR="00EA4D09" w:rsidRPr="00EA4D09" w:rsidRDefault="00EA4D09" w:rsidP="00EA4D09">
      <w:pPr>
        <w:tabs>
          <w:tab w:val="left" w:pos="720"/>
          <w:tab w:val="left" w:pos="4320"/>
        </w:tabs>
        <w:spacing w:after="0"/>
        <w:rPr>
          <w:rFonts w:ascii="Calibri" w:hAnsi="Calibri" w:cs="Calibri"/>
          <w:sz w:val="22"/>
          <w:szCs w:val="22"/>
        </w:rPr>
      </w:pPr>
    </w:p>
    <w:p w14:paraId="0A2ACD5D" w14:textId="77777777" w:rsidR="00EA4D09" w:rsidRPr="00EA4D09" w:rsidRDefault="00EA4D09" w:rsidP="00EA4D09">
      <w:pPr>
        <w:numPr>
          <w:ilvl w:val="0"/>
          <w:numId w:val="2"/>
        </w:numPr>
        <w:tabs>
          <w:tab w:val="left" w:pos="720"/>
          <w:tab w:val="left" w:pos="4320"/>
        </w:tabs>
        <w:spacing w:after="0"/>
        <w:jc w:val="left"/>
        <w:rPr>
          <w:rFonts w:ascii="Calibri" w:hAnsi="Calibri" w:cs="Calibri"/>
          <w:sz w:val="22"/>
          <w:szCs w:val="22"/>
        </w:rPr>
      </w:pPr>
      <w:r w:rsidRPr="00EA4D09">
        <w:rPr>
          <w:rFonts w:ascii="Calibri" w:hAnsi="Calibri" w:cs="Calibri"/>
          <w:sz w:val="22"/>
          <w:szCs w:val="22"/>
        </w:rPr>
        <w:t>Regional cities traffic management grants</w:t>
      </w:r>
    </w:p>
    <w:p w14:paraId="27152F5F" w14:textId="77777777" w:rsidR="00EA4D09" w:rsidRPr="00EA4D09" w:rsidRDefault="00EA4D09" w:rsidP="00EA4D09">
      <w:pPr>
        <w:numPr>
          <w:ilvl w:val="0"/>
          <w:numId w:val="2"/>
        </w:numPr>
        <w:tabs>
          <w:tab w:val="left" w:pos="720"/>
          <w:tab w:val="left" w:pos="4320"/>
        </w:tabs>
        <w:spacing w:after="0"/>
        <w:jc w:val="left"/>
        <w:rPr>
          <w:rFonts w:ascii="Calibri" w:hAnsi="Calibri" w:cs="Calibri"/>
          <w:sz w:val="22"/>
          <w:szCs w:val="22"/>
        </w:rPr>
      </w:pPr>
      <w:r w:rsidRPr="00EA4D09">
        <w:rPr>
          <w:rFonts w:ascii="Calibri" w:hAnsi="Calibri" w:cs="Calibri"/>
          <w:sz w:val="22"/>
          <w:szCs w:val="22"/>
        </w:rPr>
        <w:t>National Accessibility Programme</w:t>
      </w:r>
    </w:p>
    <w:p w14:paraId="72C70708" w14:textId="77777777" w:rsidR="00EA4D09" w:rsidRPr="00EA4D09" w:rsidRDefault="00EA4D09" w:rsidP="00EA4D09">
      <w:pPr>
        <w:numPr>
          <w:ilvl w:val="0"/>
          <w:numId w:val="2"/>
        </w:numPr>
        <w:tabs>
          <w:tab w:val="left" w:pos="720"/>
          <w:tab w:val="left" w:pos="4320"/>
        </w:tabs>
        <w:spacing w:after="0"/>
        <w:jc w:val="left"/>
        <w:rPr>
          <w:rFonts w:ascii="Calibri" w:hAnsi="Calibri" w:cs="Calibri"/>
          <w:sz w:val="22"/>
          <w:szCs w:val="22"/>
        </w:rPr>
      </w:pPr>
      <w:r w:rsidRPr="00EA4D09">
        <w:rPr>
          <w:rFonts w:ascii="Calibri" w:hAnsi="Calibri" w:cs="Calibri"/>
          <w:sz w:val="22"/>
          <w:szCs w:val="22"/>
        </w:rPr>
        <w:t xml:space="preserve">Smarter Travel Workplaces and campuses </w:t>
      </w:r>
    </w:p>
    <w:p w14:paraId="5865AE99" w14:textId="77777777" w:rsidR="00EA4D09" w:rsidRPr="00EA4D09" w:rsidRDefault="00EA4D09" w:rsidP="00EA4D09">
      <w:pPr>
        <w:numPr>
          <w:ilvl w:val="0"/>
          <w:numId w:val="2"/>
        </w:numPr>
        <w:tabs>
          <w:tab w:val="left" w:pos="720"/>
          <w:tab w:val="left" w:pos="4320"/>
        </w:tabs>
        <w:spacing w:after="0"/>
        <w:jc w:val="left"/>
        <w:rPr>
          <w:rFonts w:ascii="Calibri" w:hAnsi="Calibri" w:cs="Calibri"/>
          <w:sz w:val="22"/>
          <w:szCs w:val="22"/>
        </w:rPr>
      </w:pPr>
      <w:r w:rsidRPr="00EA4D09">
        <w:rPr>
          <w:rFonts w:ascii="Calibri" w:hAnsi="Calibri" w:cs="Calibri"/>
          <w:sz w:val="22"/>
          <w:szCs w:val="22"/>
        </w:rPr>
        <w:t>Smarter Travel schools</w:t>
      </w:r>
    </w:p>
    <w:p w14:paraId="4FE8049D" w14:textId="77777777" w:rsidR="00EA4D09" w:rsidRDefault="00EA4D09" w:rsidP="00EA4D09">
      <w:pPr>
        <w:numPr>
          <w:ilvl w:val="0"/>
          <w:numId w:val="2"/>
        </w:numPr>
        <w:tabs>
          <w:tab w:val="left" w:pos="720"/>
          <w:tab w:val="left" w:pos="4320"/>
        </w:tabs>
        <w:spacing w:after="0"/>
        <w:jc w:val="left"/>
        <w:rPr>
          <w:rFonts w:ascii="Calibri" w:hAnsi="Calibri" w:cs="Calibri"/>
          <w:sz w:val="22"/>
          <w:szCs w:val="22"/>
        </w:rPr>
      </w:pPr>
      <w:r w:rsidRPr="00EA4D09">
        <w:rPr>
          <w:rFonts w:ascii="Calibri" w:hAnsi="Calibri" w:cs="Calibri"/>
          <w:sz w:val="22"/>
          <w:szCs w:val="22"/>
        </w:rPr>
        <w:t>Rural Transport</w:t>
      </w:r>
    </w:p>
    <w:p w14:paraId="1305DD7E" w14:textId="77777777" w:rsidR="00EA4D09" w:rsidRPr="00EA4D09" w:rsidRDefault="00EA4D09" w:rsidP="00F14397">
      <w:pPr>
        <w:tabs>
          <w:tab w:val="left" w:pos="720"/>
          <w:tab w:val="left" w:pos="4320"/>
        </w:tabs>
        <w:spacing w:after="0"/>
        <w:ind w:left="720"/>
        <w:jc w:val="left"/>
        <w:rPr>
          <w:rFonts w:ascii="Calibri" w:hAnsi="Calibri" w:cs="Calibri"/>
          <w:sz w:val="22"/>
          <w:szCs w:val="22"/>
        </w:rPr>
      </w:pPr>
    </w:p>
    <w:p w14:paraId="630EF82C" w14:textId="77777777" w:rsidR="00EA4D09" w:rsidRPr="00EA4D09" w:rsidRDefault="00EA4D09" w:rsidP="00EA4D09">
      <w:pPr>
        <w:rPr>
          <w:rFonts w:ascii="Calibri" w:hAnsi="Calibri"/>
          <w:sz w:val="22"/>
          <w:szCs w:val="22"/>
        </w:rPr>
      </w:pPr>
      <w:r w:rsidRPr="00EA4D09">
        <w:rPr>
          <w:rFonts w:ascii="Calibri" w:hAnsi="Calibri"/>
          <w:sz w:val="22"/>
          <w:szCs w:val="22"/>
        </w:rPr>
        <w:t xml:space="preserve">The </w:t>
      </w:r>
      <w:r w:rsidR="00B722BD">
        <w:rPr>
          <w:rFonts w:ascii="Calibri" w:hAnsi="Calibri"/>
          <w:sz w:val="22"/>
          <w:szCs w:val="22"/>
        </w:rPr>
        <w:t>NTA</w:t>
      </w:r>
      <w:r w:rsidR="00B722BD" w:rsidRPr="00EA4D09">
        <w:rPr>
          <w:rFonts w:ascii="Calibri" w:hAnsi="Calibri"/>
          <w:sz w:val="22"/>
          <w:szCs w:val="22"/>
        </w:rPr>
        <w:t xml:space="preserve"> </w:t>
      </w:r>
      <w:r w:rsidRPr="00EA4D09">
        <w:rPr>
          <w:rFonts w:ascii="Calibri" w:hAnsi="Calibri"/>
          <w:sz w:val="22"/>
          <w:szCs w:val="22"/>
        </w:rPr>
        <w:t xml:space="preserve">is financed by central government.  </w:t>
      </w:r>
      <w:r>
        <w:rPr>
          <w:rFonts w:ascii="Calibri" w:hAnsi="Calibri"/>
          <w:sz w:val="22"/>
          <w:szCs w:val="22"/>
        </w:rPr>
        <w:t>It</w:t>
      </w:r>
      <w:r w:rsidRPr="00EA4D09">
        <w:rPr>
          <w:rFonts w:ascii="Calibri" w:hAnsi="Calibri"/>
          <w:sz w:val="22"/>
          <w:szCs w:val="22"/>
        </w:rPr>
        <w:t xml:space="preserve"> currently </w:t>
      </w:r>
      <w:r w:rsidR="00F14397">
        <w:rPr>
          <w:rFonts w:ascii="Calibri" w:hAnsi="Calibri"/>
          <w:sz w:val="22"/>
          <w:szCs w:val="22"/>
        </w:rPr>
        <w:t>has</w:t>
      </w:r>
      <w:r w:rsidRPr="00EA4D09">
        <w:rPr>
          <w:rFonts w:ascii="Calibri" w:hAnsi="Calibri"/>
          <w:sz w:val="22"/>
          <w:szCs w:val="22"/>
        </w:rPr>
        <w:t xml:space="preserve"> a staff of approximately </w:t>
      </w:r>
      <w:r w:rsidR="005B7B11">
        <w:rPr>
          <w:rFonts w:ascii="Calibri" w:hAnsi="Calibri"/>
          <w:sz w:val="22"/>
          <w:szCs w:val="22"/>
        </w:rPr>
        <w:t>354</w:t>
      </w:r>
      <w:r w:rsidR="00F14397">
        <w:rPr>
          <w:rFonts w:ascii="Calibri" w:hAnsi="Calibri"/>
          <w:sz w:val="22"/>
          <w:szCs w:val="22"/>
        </w:rPr>
        <w:t>, across a range of areas including</w:t>
      </w:r>
      <w:r w:rsidRPr="00EA4D09">
        <w:rPr>
          <w:rFonts w:ascii="Calibri" w:hAnsi="Calibri"/>
          <w:sz w:val="22"/>
          <w:szCs w:val="22"/>
        </w:rPr>
        <w:t xml:space="preserve"> planners, engineers, economists, accounts, IT, admin, and communications. </w:t>
      </w:r>
    </w:p>
    <w:p w14:paraId="5053A22D" w14:textId="77777777" w:rsidR="00EA4D09" w:rsidRPr="00EA4D09" w:rsidRDefault="00EA4D09" w:rsidP="00EA4D09">
      <w:pPr>
        <w:rPr>
          <w:rFonts w:ascii="Calibri" w:hAnsi="Calibri"/>
          <w:sz w:val="22"/>
          <w:szCs w:val="22"/>
        </w:rPr>
      </w:pPr>
    </w:p>
    <w:p w14:paraId="33816B4B" w14:textId="77777777" w:rsidR="00B405BB" w:rsidRDefault="00B405BB" w:rsidP="00763371">
      <w:pPr>
        <w:spacing w:after="100" w:afterAutospacing="1"/>
        <w:jc w:val="left"/>
        <w:rPr>
          <w:rFonts w:ascii="Calibri" w:hAnsi="Calibri"/>
          <w:b/>
          <w:szCs w:val="24"/>
        </w:rPr>
      </w:pPr>
    </w:p>
    <w:p w14:paraId="4168FC60" w14:textId="77777777" w:rsidR="00B2586F" w:rsidRDefault="00B2586F" w:rsidP="00763371">
      <w:pPr>
        <w:spacing w:after="100" w:afterAutospacing="1"/>
        <w:jc w:val="left"/>
        <w:rPr>
          <w:rFonts w:ascii="Calibri" w:hAnsi="Calibri"/>
          <w:b/>
          <w:szCs w:val="24"/>
        </w:rPr>
      </w:pPr>
    </w:p>
    <w:p w14:paraId="06FDF903" w14:textId="79EAD7E2" w:rsidR="00EA4D09" w:rsidRPr="00EA4D09" w:rsidRDefault="00EA4D09" w:rsidP="00B2586F">
      <w:pPr>
        <w:spacing w:after="0"/>
        <w:jc w:val="left"/>
        <w:rPr>
          <w:rFonts w:ascii="Calibri" w:hAnsi="Calibri"/>
          <w:b/>
          <w:szCs w:val="24"/>
        </w:rPr>
      </w:pPr>
      <w:r w:rsidRPr="00EA4D09">
        <w:rPr>
          <w:rFonts w:ascii="Calibri" w:hAnsi="Calibri"/>
          <w:b/>
          <w:szCs w:val="24"/>
        </w:rPr>
        <w:t>Background Information on the Bus Market in Ireland</w:t>
      </w:r>
    </w:p>
    <w:p w14:paraId="5846969F" w14:textId="77777777" w:rsidR="0007522A" w:rsidRDefault="005B7B11" w:rsidP="005B7B11">
      <w:pPr>
        <w:rPr>
          <w:rFonts w:ascii="Calibri" w:hAnsi="Calibri"/>
          <w:sz w:val="22"/>
          <w:szCs w:val="22"/>
        </w:rPr>
      </w:pPr>
      <w:r w:rsidRPr="005B7B11">
        <w:rPr>
          <w:rFonts w:ascii="Calibri" w:hAnsi="Calibri"/>
          <w:sz w:val="22"/>
          <w:szCs w:val="22"/>
        </w:rPr>
        <w:t xml:space="preserve">The bus market in Ireland is divided into </w:t>
      </w:r>
      <w:r w:rsidR="00B53E61">
        <w:rPr>
          <w:rFonts w:ascii="Calibri" w:hAnsi="Calibri"/>
          <w:sz w:val="22"/>
          <w:szCs w:val="22"/>
        </w:rPr>
        <w:t>two</w:t>
      </w:r>
      <w:r w:rsidRPr="005B7B11">
        <w:rPr>
          <w:rFonts w:ascii="Calibri" w:hAnsi="Calibri"/>
          <w:sz w:val="22"/>
          <w:szCs w:val="22"/>
        </w:rPr>
        <w:t xml:space="preserve"> sectors, services which are socially necessary b</w:t>
      </w:r>
      <w:r w:rsidR="00310959">
        <w:rPr>
          <w:rFonts w:ascii="Calibri" w:hAnsi="Calibri"/>
          <w:sz w:val="22"/>
          <w:szCs w:val="22"/>
        </w:rPr>
        <w:t xml:space="preserve">ut not generally commercially </w:t>
      </w:r>
      <w:r w:rsidRPr="005B7B11">
        <w:rPr>
          <w:rFonts w:ascii="Calibri" w:hAnsi="Calibri"/>
          <w:sz w:val="22"/>
          <w:szCs w:val="22"/>
        </w:rPr>
        <w:t xml:space="preserve">viable and services which are provided on a commercial basis for profit. </w:t>
      </w:r>
    </w:p>
    <w:p w14:paraId="270D23E3" w14:textId="77777777" w:rsidR="002D3370" w:rsidRPr="002D3370" w:rsidRDefault="002D3370" w:rsidP="002D3370">
      <w:pPr>
        <w:rPr>
          <w:rFonts w:ascii="Calibri" w:hAnsi="Calibri"/>
          <w:sz w:val="22"/>
          <w:szCs w:val="22"/>
        </w:rPr>
      </w:pPr>
      <w:r w:rsidRPr="002D3370">
        <w:rPr>
          <w:rFonts w:ascii="Calibri" w:hAnsi="Calibri"/>
          <w:sz w:val="22"/>
          <w:szCs w:val="22"/>
        </w:rPr>
        <w:t>There are two types of public transport services contract. They are:</w:t>
      </w:r>
    </w:p>
    <w:p w14:paraId="3E2671F0" w14:textId="77777777" w:rsidR="002D3370" w:rsidRDefault="002D3370" w:rsidP="002D3370">
      <w:pPr>
        <w:pStyle w:val="ListParagraph"/>
        <w:numPr>
          <w:ilvl w:val="0"/>
          <w:numId w:val="6"/>
        </w:numPr>
        <w:rPr>
          <w:rFonts w:ascii="Calibri" w:hAnsi="Calibri"/>
          <w:sz w:val="22"/>
          <w:szCs w:val="22"/>
        </w:rPr>
      </w:pPr>
      <w:r w:rsidRPr="002D3370">
        <w:rPr>
          <w:rFonts w:ascii="Calibri" w:hAnsi="Calibri"/>
          <w:sz w:val="22"/>
          <w:szCs w:val="22"/>
        </w:rPr>
        <w:t>Net cost contracts under which the operator retains all fare revenue.</w:t>
      </w:r>
    </w:p>
    <w:p w14:paraId="63EDE00C" w14:textId="77777777" w:rsidR="007132CD" w:rsidRPr="002D3370" w:rsidRDefault="007132CD" w:rsidP="00296598">
      <w:pPr>
        <w:pStyle w:val="ListParagraph"/>
        <w:rPr>
          <w:rFonts w:ascii="Calibri" w:hAnsi="Calibri"/>
          <w:sz w:val="22"/>
          <w:szCs w:val="22"/>
        </w:rPr>
      </w:pPr>
    </w:p>
    <w:p w14:paraId="37B920B9" w14:textId="77777777" w:rsidR="00296598" w:rsidRDefault="002D3370" w:rsidP="00345892">
      <w:pPr>
        <w:pStyle w:val="ListParagraph"/>
        <w:numPr>
          <w:ilvl w:val="0"/>
          <w:numId w:val="6"/>
        </w:numPr>
        <w:rPr>
          <w:rFonts w:ascii="Calibri" w:hAnsi="Calibri"/>
          <w:sz w:val="22"/>
          <w:szCs w:val="22"/>
        </w:rPr>
      </w:pPr>
      <w:r w:rsidRPr="00296598">
        <w:rPr>
          <w:rFonts w:ascii="Calibri" w:hAnsi="Calibri"/>
          <w:sz w:val="22"/>
          <w:szCs w:val="22"/>
        </w:rPr>
        <w:t xml:space="preserve">Gross cost contracts under which the </w:t>
      </w:r>
      <w:r w:rsidR="00B722BD">
        <w:rPr>
          <w:rFonts w:ascii="Calibri" w:hAnsi="Calibri"/>
          <w:sz w:val="22"/>
          <w:szCs w:val="22"/>
        </w:rPr>
        <w:t>NTA</w:t>
      </w:r>
      <w:r w:rsidR="00B722BD" w:rsidRPr="00296598">
        <w:rPr>
          <w:rFonts w:ascii="Calibri" w:hAnsi="Calibri"/>
          <w:sz w:val="22"/>
          <w:szCs w:val="22"/>
        </w:rPr>
        <w:t xml:space="preserve"> </w:t>
      </w:r>
      <w:r w:rsidRPr="00296598">
        <w:rPr>
          <w:rFonts w:ascii="Calibri" w:hAnsi="Calibri"/>
          <w:sz w:val="22"/>
          <w:szCs w:val="22"/>
        </w:rPr>
        <w:t>retains all fare revenue. All competitively tendered contracts currently fall into this category</w:t>
      </w:r>
      <w:r w:rsidR="00850233">
        <w:rPr>
          <w:rFonts w:ascii="Calibri" w:hAnsi="Calibri"/>
          <w:sz w:val="22"/>
          <w:szCs w:val="22"/>
        </w:rPr>
        <w:t>.</w:t>
      </w:r>
      <w:r w:rsidRPr="00296598">
        <w:rPr>
          <w:rFonts w:ascii="Calibri" w:hAnsi="Calibri"/>
          <w:sz w:val="22"/>
          <w:szCs w:val="22"/>
        </w:rPr>
        <w:t xml:space="preserve"> </w:t>
      </w:r>
    </w:p>
    <w:p w14:paraId="5429366B" w14:textId="77777777" w:rsidR="00296598" w:rsidRPr="00296598" w:rsidRDefault="00296598" w:rsidP="00296598">
      <w:pPr>
        <w:pStyle w:val="ListParagraph"/>
        <w:rPr>
          <w:rFonts w:ascii="Calibri" w:hAnsi="Calibri"/>
          <w:sz w:val="22"/>
          <w:szCs w:val="22"/>
        </w:rPr>
      </w:pPr>
    </w:p>
    <w:p w14:paraId="4C197F36" w14:textId="77777777" w:rsidR="002D3370" w:rsidRPr="00B405BB" w:rsidRDefault="002D3370" w:rsidP="00B405BB">
      <w:pPr>
        <w:rPr>
          <w:rFonts w:ascii="Calibri" w:hAnsi="Calibri"/>
          <w:sz w:val="22"/>
          <w:szCs w:val="22"/>
        </w:rPr>
      </w:pPr>
      <w:r w:rsidRPr="00B405BB">
        <w:rPr>
          <w:rFonts w:ascii="Calibri" w:hAnsi="Calibri"/>
          <w:sz w:val="22"/>
          <w:szCs w:val="22"/>
        </w:rPr>
        <w:t xml:space="preserve">The </w:t>
      </w:r>
      <w:r w:rsidR="00B722BD" w:rsidRPr="00B405BB">
        <w:rPr>
          <w:rFonts w:ascii="Calibri" w:hAnsi="Calibri"/>
          <w:sz w:val="22"/>
          <w:szCs w:val="22"/>
        </w:rPr>
        <w:t xml:space="preserve">NTA </w:t>
      </w:r>
      <w:r w:rsidRPr="00B405BB">
        <w:rPr>
          <w:rFonts w:ascii="Calibri" w:hAnsi="Calibri"/>
          <w:sz w:val="22"/>
          <w:szCs w:val="22"/>
        </w:rPr>
        <w:t xml:space="preserve">also contracts with a large number of operators to provide rural transport services nationally through the Local Link Programme. These are </w:t>
      </w:r>
      <w:r w:rsidR="00EC1CF5">
        <w:rPr>
          <w:rFonts w:ascii="Calibri" w:hAnsi="Calibri"/>
          <w:sz w:val="22"/>
          <w:szCs w:val="22"/>
        </w:rPr>
        <w:t xml:space="preserve">a mixture of </w:t>
      </w:r>
      <w:r w:rsidRPr="00B405BB">
        <w:rPr>
          <w:rFonts w:ascii="Calibri" w:hAnsi="Calibri"/>
          <w:sz w:val="22"/>
          <w:szCs w:val="22"/>
        </w:rPr>
        <w:t>gross cost contracts which are competitively tendered</w:t>
      </w:r>
      <w:r w:rsidR="00EC1CF5">
        <w:rPr>
          <w:rFonts w:ascii="Calibri" w:hAnsi="Calibri"/>
          <w:sz w:val="22"/>
          <w:szCs w:val="22"/>
        </w:rPr>
        <w:t xml:space="preserve"> as well as</w:t>
      </w:r>
      <w:r w:rsidRPr="00B405BB">
        <w:rPr>
          <w:rFonts w:ascii="Calibri" w:hAnsi="Calibri"/>
          <w:sz w:val="22"/>
          <w:szCs w:val="22"/>
        </w:rPr>
        <w:t xml:space="preserve"> a small number of </w:t>
      </w:r>
      <w:r w:rsidR="00EC1CF5">
        <w:rPr>
          <w:rFonts w:ascii="Calibri" w:hAnsi="Calibri"/>
          <w:sz w:val="22"/>
          <w:szCs w:val="22"/>
        </w:rPr>
        <w:t xml:space="preserve">net cost direct award contracts with </w:t>
      </w:r>
      <w:r w:rsidR="00EC1CF5" w:rsidRPr="00B405BB">
        <w:rPr>
          <w:rFonts w:ascii="Calibri" w:hAnsi="Calibri"/>
          <w:sz w:val="22"/>
          <w:szCs w:val="22"/>
        </w:rPr>
        <w:t>fleet</w:t>
      </w:r>
      <w:r w:rsidR="00EC1CF5">
        <w:rPr>
          <w:rFonts w:ascii="Calibri" w:hAnsi="Calibri"/>
          <w:sz w:val="22"/>
          <w:szCs w:val="22"/>
        </w:rPr>
        <w:t>-</w:t>
      </w:r>
      <w:r w:rsidRPr="00B405BB">
        <w:rPr>
          <w:rFonts w:ascii="Calibri" w:hAnsi="Calibri"/>
          <w:sz w:val="22"/>
          <w:szCs w:val="22"/>
        </w:rPr>
        <w:t>owning Local Link groups to provide transport services.</w:t>
      </w:r>
    </w:p>
    <w:p w14:paraId="622AB3F5" w14:textId="77777777" w:rsidR="00296598" w:rsidRPr="007132CD" w:rsidRDefault="00296598" w:rsidP="00B405BB">
      <w:pPr>
        <w:pStyle w:val="ListParagraph"/>
        <w:rPr>
          <w:rFonts w:ascii="Calibri" w:hAnsi="Calibri"/>
          <w:sz w:val="22"/>
          <w:szCs w:val="22"/>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09"/>
        <w:gridCol w:w="2536"/>
        <w:gridCol w:w="2280"/>
        <w:gridCol w:w="2279"/>
      </w:tblGrid>
      <w:tr w:rsidR="002D3370" w:rsidRPr="00F14397" w14:paraId="1A866F61" w14:textId="77777777" w:rsidTr="00A95DFB">
        <w:trPr>
          <w:trHeight w:val="161"/>
        </w:trPr>
        <w:tc>
          <w:tcPr>
            <w:tcW w:w="2009" w:type="dxa"/>
            <w:shd w:val="clear" w:color="auto" w:fill="F2F2F2" w:themeFill="background1" w:themeFillShade="F2"/>
            <w:tcMar>
              <w:top w:w="72" w:type="dxa"/>
              <w:left w:w="144" w:type="dxa"/>
              <w:bottom w:w="72" w:type="dxa"/>
              <w:right w:w="144" w:type="dxa"/>
            </w:tcMar>
            <w:vAlign w:val="center"/>
            <w:hideMark/>
          </w:tcPr>
          <w:p w14:paraId="1B46AB1A" w14:textId="77777777" w:rsidR="002D3370" w:rsidRPr="00F14397" w:rsidRDefault="002D3370" w:rsidP="00C64455">
            <w:pPr>
              <w:spacing w:after="0"/>
              <w:jc w:val="center"/>
              <w:rPr>
                <w:rFonts w:ascii="Arial" w:hAnsi="Arial" w:cs="Arial"/>
                <w:sz w:val="18"/>
                <w:szCs w:val="18"/>
                <w:lang w:val="en-IE" w:eastAsia="en-IE"/>
              </w:rPr>
            </w:pPr>
            <w:r>
              <w:rPr>
                <w:rFonts w:ascii="Arial" w:hAnsi="Arial" w:cs="Arial"/>
                <w:b/>
                <w:bCs/>
                <w:kern w:val="24"/>
                <w:sz w:val="18"/>
                <w:szCs w:val="18"/>
                <w:lang w:val="en-IE" w:eastAsia="en-IE"/>
              </w:rPr>
              <w:t>Operator / Programme</w:t>
            </w:r>
          </w:p>
        </w:tc>
        <w:tc>
          <w:tcPr>
            <w:tcW w:w="2536" w:type="dxa"/>
            <w:shd w:val="clear" w:color="auto" w:fill="F2F2F2" w:themeFill="background1" w:themeFillShade="F2"/>
            <w:tcMar>
              <w:top w:w="15" w:type="dxa"/>
              <w:left w:w="15" w:type="dxa"/>
              <w:bottom w:w="0" w:type="dxa"/>
              <w:right w:w="15" w:type="dxa"/>
            </w:tcMar>
            <w:vAlign w:val="center"/>
            <w:hideMark/>
          </w:tcPr>
          <w:p w14:paraId="011EC9E8" w14:textId="77777777" w:rsidR="002D3370" w:rsidRPr="00F14397" w:rsidRDefault="002D3370" w:rsidP="00C64455">
            <w:pPr>
              <w:spacing w:after="0"/>
              <w:jc w:val="center"/>
              <w:textAlignment w:val="bottom"/>
              <w:rPr>
                <w:rFonts w:ascii="Arial" w:hAnsi="Arial" w:cs="Arial"/>
                <w:sz w:val="18"/>
                <w:szCs w:val="18"/>
                <w:lang w:val="en-IE" w:eastAsia="en-IE"/>
              </w:rPr>
            </w:pPr>
            <w:r>
              <w:rPr>
                <w:rFonts w:ascii="Arial" w:hAnsi="Arial" w:cs="Arial"/>
                <w:b/>
                <w:bCs/>
                <w:kern w:val="24"/>
                <w:sz w:val="18"/>
                <w:szCs w:val="18"/>
                <w:lang w:val="en-IE" w:eastAsia="en-IE"/>
              </w:rPr>
              <w:t>Service Type</w:t>
            </w:r>
          </w:p>
        </w:tc>
        <w:tc>
          <w:tcPr>
            <w:tcW w:w="2280" w:type="dxa"/>
            <w:shd w:val="clear" w:color="auto" w:fill="F2F2F2" w:themeFill="background1" w:themeFillShade="F2"/>
            <w:tcMar>
              <w:top w:w="15" w:type="dxa"/>
              <w:left w:w="15" w:type="dxa"/>
              <w:bottom w:w="0" w:type="dxa"/>
              <w:right w:w="15" w:type="dxa"/>
            </w:tcMar>
            <w:vAlign w:val="center"/>
            <w:hideMark/>
          </w:tcPr>
          <w:p w14:paraId="15348B5F" w14:textId="77777777" w:rsidR="002D3370" w:rsidRPr="00F14397" w:rsidRDefault="002D3370" w:rsidP="00C64455">
            <w:pPr>
              <w:spacing w:after="0"/>
              <w:jc w:val="center"/>
              <w:textAlignment w:val="bottom"/>
              <w:rPr>
                <w:rFonts w:ascii="Arial" w:hAnsi="Arial" w:cs="Arial"/>
                <w:sz w:val="18"/>
                <w:szCs w:val="18"/>
                <w:lang w:val="en-IE" w:eastAsia="en-IE"/>
              </w:rPr>
            </w:pPr>
            <w:r>
              <w:rPr>
                <w:rFonts w:ascii="Arial" w:hAnsi="Arial" w:cs="Arial"/>
                <w:b/>
                <w:bCs/>
                <w:kern w:val="24"/>
                <w:sz w:val="18"/>
                <w:szCs w:val="18"/>
                <w:lang w:val="en-IE" w:eastAsia="en-IE"/>
              </w:rPr>
              <w:t>Contract Type</w:t>
            </w:r>
          </w:p>
        </w:tc>
        <w:tc>
          <w:tcPr>
            <w:tcW w:w="2279" w:type="dxa"/>
            <w:shd w:val="clear" w:color="auto" w:fill="F2F2F2" w:themeFill="background1" w:themeFillShade="F2"/>
            <w:tcMar>
              <w:top w:w="15" w:type="dxa"/>
              <w:left w:w="15" w:type="dxa"/>
              <w:bottom w:w="0" w:type="dxa"/>
              <w:right w:w="15" w:type="dxa"/>
            </w:tcMar>
            <w:vAlign w:val="center"/>
            <w:hideMark/>
          </w:tcPr>
          <w:p w14:paraId="1BD376EF" w14:textId="77777777" w:rsidR="002D3370" w:rsidRPr="00F14397" w:rsidRDefault="002D3370" w:rsidP="00C64455">
            <w:pPr>
              <w:spacing w:after="0"/>
              <w:jc w:val="center"/>
              <w:textAlignment w:val="bottom"/>
              <w:rPr>
                <w:rFonts w:ascii="Arial" w:hAnsi="Arial" w:cs="Arial"/>
                <w:sz w:val="18"/>
                <w:szCs w:val="18"/>
                <w:lang w:val="en-IE" w:eastAsia="en-IE"/>
              </w:rPr>
            </w:pPr>
            <w:r>
              <w:rPr>
                <w:rFonts w:ascii="Arial" w:hAnsi="Arial" w:cs="Arial"/>
                <w:b/>
                <w:bCs/>
                <w:kern w:val="24"/>
                <w:sz w:val="18"/>
                <w:szCs w:val="18"/>
                <w:lang w:val="en-IE" w:eastAsia="en-IE"/>
              </w:rPr>
              <w:t>Operational Area</w:t>
            </w:r>
            <w:r w:rsidR="00060B8D">
              <w:rPr>
                <w:rFonts w:ascii="Arial" w:hAnsi="Arial" w:cs="Arial"/>
                <w:b/>
                <w:bCs/>
                <w:kern w:val="24"/>
                <w:sz w:val="18"/>
                <w:szCs w:val="18"/>
                <w:lang w:val="en-IE" w:eastAsia="en-IE"/>
              </w:rPr>
              <w:t xml:space="preserve"> </w:t>
            </w:r>
            <w:r>
              <w:rPr>
                <w:rFonts w:ascii="Arial" w:hAnsi="Arial" w:cs="Arial"/>
                <w:b/>
                <w:bCs/>
                <w:kern w:val="24"/>
                <w:sz w:val="18"/>
                <w:szCs w:val="18"/>
                <w:lang w:val="en-IE" w:eastAsia="en-IE"/>
              </w:rPr>
              <w:t>/</w:t>
            </w:r>
            <w:r w:rsidR="00060B8D">
              <w:rPr>
                <w:rFonts w:ascii="Arial" w:hAnsi="Arial" w:cs="Arial"/>
                <w:b/>
                <w:bCs/>
                <w:kern w:val="24"/>
                <w:sz w:val="18"/>
                <w:szCs w:val="18"/>
                <w:lang w:val="en-IE" w:eastAsia="en-IE"/>
              </w:rPr>
              <w:t xml:space="preserve"> </w:t>
            </w:r>
            <w:r>
              <w:rPr>
                <w:rFonts w:ascii="Arial" w:hAnsi="Arial" w:cs="Arial"/>
                <w:b/>
                <w:bCs/>
                <w:kern w:val="24"/>
                <w:sz w:val="18"/>
                <w:szCs w:val="18"/>
                <w:lang w:val="en-IE" w:eastAsia="en-IE"/>
              </w:rPr>
              <w:t>Route</w:t>
            </w:r>
          </w:p>
        </w:tc>
      </w:tr>
      <w:tr w:rsidR="002D3370" w:rsidRPr="00F14397" w14:paraId="53018D8C" w14:textId="77777777" w:rsidTr="00A95DFB">
        <w:trPr>
          <w:trHeight w:val="155"/>
        </w:trPr>
        <w:tc>
          <w:tcPr>
            <w:tcW w:w="2009" w:type="dxa"/>
            <w:shd w:val="clear" w:color="auto" w:fill="FFFFFF" w:themeFill="background1"/>
            <w:tcMar>
              <w:top w:w="72" w:type="dxa"/>
              <w:left w:w="144" w:type="dxa"/>
              <w:bottom w:w="72" w:type="dxa"/>
              <w:right w:w="144" w:type="dxa"/>
            </w:tcMar>
            <w:vAlign w:val="center"/>
            <w:hideMark/>
          </w:tcPr>
          <w:p w14:paraId="326B8F14" w14:textId="77777777" w:rsidR="002D3370" w:rsidRPr="00F14397" w:rsidRDefault="002D3370" w:rsidP="00C64455">
            <w:pPr>
              <w:spacing w:after="0"/>
              <w:jc w:val="center"/>
              <w:rPr>
                <w:rFonts w:ascii="Arial" w:hAnsi="Arial" w:cs="Arial"/>
                <w:sz w:val="18"/>
                <w:szCs w:val="18"/>
                <w:lang w:val="en-IE" w:eastAsia="en-IE"/>
              </w:rPr>
            </w:pPr>
            <w:r>
              <w:rPr>
                <w:rFonts w:ascii="Arial" w:hAnsi="Arial" w:cs="Arial"/>
                <w:kern w:val="24"/>
                <w:sz w:val="18"/>
                <w:szCs w:val="18"/>
                <w:lang w:val="en-IE" w:eastAsia="en-IE"/>
              </w:rPr>
              <w:t>Dublin Bus</w:t>
            </w:r>
          </w:p>
        </w:tc>
        <w:tc>
          <w:tcPr>
            <w:tcW w:w="2536" w:type="dxa"/>
            <w:shd w:val="clear" w:color="auto" w:fill="FFFFFF" w:themeFill="background1"/>
            <w:tcMar>
              <w:top w:w="15" w:type="dxa"/>
              <w:left w:w="15" w:type="dxa"/>
              <w:bottom w:w="0" w:type="dxa"/>
              <w:right w:w="15" w:type="dxa"/>
            </w:tcMar>
            <w:hideMark/>
          </w:tcPr>
          <w:p w14:paraId="635CC240" w14:textId="77777777" w:rsidR="002D3370" w:rsidRPr="00AD410D" w:rsidRDefault="002D3370" w:rsidP="00C64455">
            <w:pPr>
              <w:jc w:val="center"/>
              <w:rPr>
                <w:sz w:val="18"/>
                <w:szCs w:val="18"/>
              </w:rPr>
            </w:pPr>
            <w:r>
              <w:rPr>
                <w:rFonts w:ascii="Arial" w:hAnsi="Arial" w:cs="Arial"/>
                <w:bCs/>
                <w:kern w:val="24"/>
                <w:sz w:val="18"/>
                <w:szCs w:val="18"/>
                <w:lang w:val="en-IE" w:eastAsia="en-IE"/>
              </w:rPr>
              <w:t>Bus</w:t>
            </w:r>
          </w:p>
        </w:tc>
        <w:tc>
          <w:tcPr>
            <w:tcW w:w="2280" w:type="dxa"/>
            <w:shd w:val="clear" w:color="auto" w:fill="FFFFFF" w:themeFill="background1"/>
            <w:tcMar>
              <w:top w:w="15" w:type="dxa"/>
              <w:left w:w="15" w:type="dxa"/>
              <w:bottom w:w="0" w:type="dxa"/>
              <w:right w:w="15" w:type="dxa"/>
            </w:tcMar>
            <w:hideMark/>
          </w:tcPr>
          <w:p w14:paraId="7894FA7C" w14:textId="77777777" w:rsidR="002D3370" w:rsidRPr="00AD410D" w:rsidRDefault="002D3370" w:rsidP="00C64455">
            <w:pPr>
              <w:jc w:val="center"/>
              <w:rPr>
                <w:sz w:val="18"/>
                <w:szCs w:val="18"/>
              </w:rPr>
            </w:pPr>
            <w:r>
              <w:rPr>
                <w:rFonts w:ascii="Arial" w:hAnsi="Arial" w:cs="Arial"/>
                <w:bCs/>
                <w:kern w:val="24"/>
                <w:sz w:val="18"/>
                <w:szCs w:val="18"/>
                <w:lang w:val="en-IE" w:eastAsia="en-IE"/>
              </w:rPr>
              <w:t>Direct Award</w:t>
            </w:r>
          </w:p>
        </w:tc>
        <w:tc>
          <w:tcPr>
            <w:tcW w:w="2279" w:type="dxa"/>
            <w:shd w:val="clear" w:color="auto" w:fill="FFFFFF" w:themeFill="background1"/>
            <w:tcMar>
              <w:top w:w="15" w:type="dxa"/>
              <w:left w:w="15" w:type="dxa"/>
              <w:bottom w:w="0" w:type="dxa"/>
              <w:right w:w="15" w:type="dxa"/>
            </w:tcMar>
            <w:hideMark/>
          </w:tcPr>
          <w:p w14:paraId="065A587E" w14:textId="77777777" w:rsidR="002D3370" w:rsidRPr="00AD410D" w:rsidRDefault="002D3370" w:rsidP="00C64455">
            <w:pPr>
              <w:jc w:val="center"/>
              <w:rPr>
                <w:sz w:val="18"/>
                <w:szCs w:val="18"/>
              </w:rPr>
            </w:pPr>
            <w:r>
              <w:rPr>
                <w:rFonts w:ascii="Arial" w:hAnsi="Arial" w:cs="Arial"/>
                <w:bCs/>
                <w:kern w:val="24"/>
                <w:sz w:val="18"/>
                <w:szCs w:val="18"/>
                <w:lang w:val="en-IE" w:eastAsia="en-IE"/>
              </w:rPr>
              <w:t xml:space="preserve">Dublin </w:t>
            </w:r>
            <w:r w:rsidR="00D159C0">
              <w:rPr>
                <w:rFonts w:ascii="Arial" w:hAnsi="Arial" w:cs="Arial"/>
                <w:bCs/>
                <w:kern w:val="24"/>
                <w:sz w:val="18"/>
                <w:szCs w:val="18"/>
                <w:lang w:val="en-IE" w:eastAsia="en-IE"/>
              </w:rPr>
              <w:t>Metropolitan</w:t>
            </w:r>
          </w:p>
        </w:tc>
      </w:tr>
      <w:tr w:rsidR="002D3370" w:rsidRPr="00F14397" w14:paraId="2AE645C7" w14:textId="77777777" w:rsidTr="00A95DFB">
        <w:trPr>
          <w:trHeight w:val="155"/>
        </w:trPr>
        <w:tc>
          <w:tcPr>
            <w:tcW w:w="2009" w:type="dxa"/>
            <w:shd w:val="clear" w:color="auto" w:fill="auto"/>
            <w:tcMar>
              <w:top w:w="72" w:type="dxa"/>
              <w:left w:w="144" w:type="dxa"/>
              <w:bottom w:w="72" w:type="dxa"/>
              <w:right w:w="144" w:type="dxa"/>
            </w:tcMar>
            <w:vAlign w:val="center"/>
            <w:hideMark/>
          </w:tcPr>
          <w:p w14:paraId="7DA02167" w14:textId="77777777" w:rsidR="002D3370" w:rsidRPr="00F14397" w:rsidRDefault="002D3370" w:rsidP="00C64455">
            <w:pPr>
              <w:spacing w:after="0"/>
              <w:jc w:val="center"/>
              <w:rPr>
                <w:rFonts w:ascii="Arial" w:hAnsi="Arial" w:cs="Arial"/>
                <w:sz w:val="18"/>
                <w:szCs w:val="18"/>
                <w:lang w:val="en-IE" w:eastAsia="en-IE"/>
              </w:rPr>
            </w:pPr>
            <w:r>
              <w:rPr>
                <w:rFonts w:ascii="Arial" w:hAnsi="Arial" w:cs="Arial"/>
                <w:kern w:val="24"/>
                <w:sz w:val="18"/>
                <w:szCs w:val="18"/>
                <w:lang w:val="en-IE" w:eastAsia="en-IE"/>
              </w:rPr>
              <w:t xml:space="preserve">Bus </w:t>
            </w:r>
            <w:r w:rsidR="00A95DFB">
              <w:rPr>
                <w:rFonts w:ascii="Arial" w:hAnsi="Arial" w:cs="Arial"/>
                <w:kern w:val="24"/>
                <w:sz w:val="18"/>
                <w:szCs w:val="18"/>
                <w:lang w:val="en-IE" w:eastAsia="en-IE"/>
              </w:rPr>
              <w:t>Éireann</w:t>
            </w:r>
          </w:p>
        </w:tc>
        <w:tc>
          <w:tcPr>
            <w:tcW w:w="2536" w:type="dxa"/>
            <w:shd w:val="clear" w:color="auto" w:fill="auto"/>
            <w:tcMar>
              <w:top w:w="15" w:type="dxa"/>
              <w:left w:w="15" w:type="dxa"/>
              <w:bottom w:w="0" w:type="dxa"/>
              <w:right w:w="15" w:type="dxa"/>
            </w:tcMar>
            <w:hideMark/>
          </w:tcPr>
          <w:p w14:paraId="032E5BB1" w14:textId="77777777" w:rsidR="002D3370" w:rsidRPr="00AD410D" w:rsidRDefault="002D3370" w:rsidP="00C64455">
            <w:pPr>
              <w:jc w:val="center"/>
              <w:rPr>
                <w:sz w:val="18"/>
                <w:szCs w:val="18"/>
              </w:rPr>
            </w:pPr>
            <w:r>
              <w:rPr>
                <w:rFonts w:ascii="Arial" w:hAnsi="Arial" w:cs="Arial"/>
                <w:bCs/>
                <w:kern w:val="24"/>
                <w:sz w:val="18"/>
                <w:szCs w:val="18"/>
                <w:lang w:val="en-IE" w:eastAsia="en-IE"/>
              </w:rPr>
              <w:t>Bus</w:t>
            </w:r>
          </w:p>
        </w:tc>
        <w:tc>
          <w:tcPr>
            <w:tcW w:w="2280" w:type="dxa"/>
            <w:shd w:val="clear" w:color="auto" w:fill="auto"/>
            <w:tcMar>
              <w:top w:w="15" w:type="dxa"/>
              <w:left w:w="15" w:type="dxa"/>
              <w:bottom w:w="0" w:type="dxa"/>
              <w:right w:w="15" w:type="dxa"/>
            </w:tcMar>
            <w:hideMark/>
          </w:tcPr>
          <w:p w14:paraId="24803EBD" w14:textId="77777777" w:rsidR="002D3370" w:rsidRPr="00AD410D" w:rsidRDefault="002D3370" w:rsidP="00C64455">
            <w:pPr>
              <w:jc w:val="center"/>
              <w:rPr>
                <w:sz w:val="18"/>
                <w:szCs w:val="18"/>
              </w:rPr>
            </w:pPr>
            <w:r>
              <w:rPr>
                <w:rFonts w:ascii="Arial" w:hAnsi="Arial" w:cs="Arial"/>
                <w:bCs/>
                <w:kern w:val="24"/>
                <w:sz w:val="18"/>
                <w:szCs w:val="18"/>
                <w:lang w:val="en-IE" w:eastAsia="en-IE"/>
              </w:rPr>
              <w:t>Direct Award</w:t>
            </w:r>
          </w:p>
        </w:tc>
        <w:tc>
          <w:tcPr>
            <w:tcW w:w="2279" w:type="dxa"/>
            <w:shd w:val="clear" w:color="auto" w:fill="auto"/>
            <w:tcMar>
              <w:top w:w="15" w:type="dxa"/>
              <w:left w:w="15" w:type="dxa"/>
              <w:bottom w:w="0" w:type="dxa"/>
              <w:right w:w="15" w:type="dxa"/>
            </w:tcMar>
            <w:hideMark/>
          </w:tcPr>
          <w:p w14:paraId="66F39D4B" w14:textId="77777777" w:rsidR="002D3370" w:rsidRPr="00AD410D" w:rsidRDefault="002D3370" w:rsidP="00C64455">
            <w:pPr>
              <w:jc w:val="center"/>
              <w:rPr>
                <w:sz w:val="18"/>
                <w:szCs w:val="18"/>
              </w:rPr>
            </w:pPr>
            <w:r>
              <w:rPr>
                <w:rFonts w:ascii="Arial" w:hAnsi="Arial" w:cs="Arial"/>
                <w:bCs/>
                <w:kern w:val="24"/>
                <w:sz w:val="18"/>
                <w:szCs w:val="18"/>
                <w:lang w:val="en-IE" w:eastAsia="en-IE"/>
              </w:rPr>
              <w:t>National (Excluding Dublin)</w:t>
            </w:r>
          </w:p>
        </w:tc>
      </w:tr>
      <w:tr w:rsidR="002D3370" w:rsidRPr="00F14397" w14:paraId="39DC2742" w14:textId="77777777" w:rsidTr="00A95DFB">
        <w:trPr>
          <w:trHeight w:val="155"/>
        </w:trPr>
        <w:tc>
          <w:tcPr>
            <w:tcW w:w="2009" w:type="dxa"/>
            <w:shd w:val="clear" w:color="auto" w:fill="auto"/>
            <w:tcMar>
              <w:top w:w="72" w:type="dxa"/>
              <w:left w:w="144" w:type="dxa"/>
              <w:bottom w:w="72" w:type="dxa"/>
              <w:right w:w="144" w:type="dxa"/>
            </w:tcMar>
            <w:vAlign w:val="center"/>
          </w:tcPr>
          <w:p w14:paraId="5F0F9C9D" w14:textId="77777777" w:rsidR="002D3370" w:rsidRDefault="002D3370" w:rsidP="00C64455">
            <w:pPr>
              <w:spacing w:after="0"/>
              <w:jc w:val="center"/>
              <w:rPr>
                <w:rFonts w:ascii="Arial" w:hAnsi="Arial" w:cs="Arial"/>
                <w:kern w:val="24"/>
                <w:sz w:val="18"/>
                <w:szCs w:val="18"/>
                <w:lang w:val="en-IE" w:eastAsia="en-IE"/>
              </w:rPr>
            </w:pPr>
            <w:r>
              <w:rPr>
                <w:rFonts w:ascii="Arial" w:hAnsi="Arial" w:cs="Arial"/>
                <w:kern w:val="24"/>
                <w:sz w:val="18"/>
                <w:szCs w:val="18"/>
                <w:lang w:val="en-IE" w:eastAsia="en-IE"/>
              </w:rPr>
              <w:t>Rural Transport Programme</w:t>
            </w:r>
          </w:p>
        </w:tc>
        <w:tc>
          <w:tcPr>
            <w:tcW w:w="2536" w:type="dxa"/>
            <w:shd w:val="clear" w:color="auto" w:fill="auto"/>
            <w:tcMar>
              <w:top w:w="15" w:type="dxa"/>
              <w:left w:w="15" w:type="dxa"/>
              <w:bottom w:w="0" w:type="dxa"/>
              <w:right w:w="15" w:type="dxa"/>
            </w:tcMar>
          </w:tcPr>
          <w:p w14:paraId="74F80B26" w14:textId="77777777" w:rsidR="002D3370" w:rsidRDefault="00D159C0" w:rsidP="00C64455">
            <w:pPr>
              <w:jc w:val="center"/>
              <w:rPr>
                <w:rFonts w:ascii="Arial" w:hAnsi="Arial" w:cs="Arial"/>
                <w:bCs/>
                <w:kern w:val="24"/>
                <w:sz w:val="18"/>
                <w:szCs w:val="18"/>
                <w:lang w:val="en-IE" w:eastAsia="en-IE"/>
              </w:rPr>
            </w:pPr>
            <w:r>
              <w:rPr>
                <w:rFonts w:ascii="Arial" w:hAnsi="Arial" w:cs="Arial"/>
                <w:bCs/>
                <w:kern w:val="24"/>
                <w:sz w:val="18"/>
                <w:szCs w:val="18"/>
                <w:lang w:val="en-IE" w:eastAsia="en-IE"/>
              </w:rPr>
              <w:t>Bus / Demand Responsive Transport</w:t>
            </w:r>
          </w:p>
        </w:tc>
        <w:tc>
          <w:tcPr>
            <w:tcW w:w="2280" w:type="dxa"/>
            <w:shd w:val="clear" w:color="auto" w:fill="auto"/>
            <w:tcMar>
              <w:top w:w="15" w:type="dxa"/>
              <w:left w:w="15" w:type="dxa"/>
              <w:bottom w:w="0" w:type="dxa"/>
              <w:right w:w="15" w:type="dxa"/>
            </w:tcMar>
          </w:tcPr>
          <w:p w14:paraId="6AD0A205" w14:textId="77777777" w:rsidR="002D3370" w:rsidRDefault="00D159C0" w:rsidP="00C64455">
            <w:pPr>
              <w:jc w:val="center"/>
              <w:rPr>
                <w:rFonts w:ascii="Arial" w:hAnsi="Arial" w:cs="Arial"/>
                <w:bCs/>
                <w:kern w:val="24"/>
                <w:sz w:val="18"/>
                <w:szCs w:val="18"/>
                <w:lang w:val="en-IE" w:eastAsia="en-IE"/>
              </w:rPr>
            </w:pPr>
            <w:r>
              <w:rPr>
                <w:rFonts w:ascii="Arial" w:hAnsi="Arial" w:cs="Arial"/>
                <w:bCs/>
                <w:kern w:val="24"/>
                <w:sz w:val="18"/>
                <w:szCs w:val="18"/>
                <w:lang w:val="en-IE" w:eastAsia="en-IE"/>
              </w:rPr>
              <w:t>Various</w:t>
            </w:r>
          </w:p>
        </w:tc>
        <w:tc>
          <w:tcPr>
            <w:tcW w:w="2279" w:type="dxa"/>
            <w:shd w:val="clear" w:color="auto" w:fill="auto"/>
            <w:tcMar>
              <w:top w:w="15" w:type="dxa"/>
              <w:left w:w="15" w:type="dxa"/>
              <w:bottom w:w="0" w:type="dxa"/>
              <w:right w:w="15" w:type="dxa"/>
            </w:tcMar>
          </w:tcPr>
          <w:p w14:paraId="60E48556" w14:textId="77777777" w:rsidR="002D3370" w:rsidRDefault="00D159C0" w:rsidP="00C64455">
            <w:pPr>
              <w:jc w:val="center"/>
              <w:rPr>
                <w:rFonts w:ascii="Arial" w:hAnsi="Arial" w:cs="Arial"/>
                <w:bCs/>
                <w:kern w:val="24"/>
                <w:sz w:val="18"/>
                <w:szCs w:val="18"/>
                <w:lang w:val="en-IE" w:eastAsia="en-IE"/>
              </w:rPr>
            </w:pPr>
            <w:r>
              <w:rPr>
                <w:rFonts w:ascii="Arial" w:hAnsi="Arial" w:cs="Arial"/>
                <w:bCs/>
                <w:kern w:val="24"/>
                <w:sz w:val="18"/>
                <w:szCs w:val="18"/>
                <w:lang w:val="en-IE" w:eastAsia="en-IE"/>
              </w:rPr>
              <w:t>National</w:t>
            </w:r>
          </w:p>
        </w:tc>
      </w:tr>
      <w:tr w:rsidR="002D3370" w:rsidRPr="00F14397" w14:paraId="75EA3B02" w14:textId="77777777" w:rsidTr="00A95DFB">
        <w:trPr>
          <w:trHeight w:val="155"/>
        </w:trPr>
        <w:tc>
          <w:tcPr>
            <w:tcW w:w="2009" w:type="dxa"/>
            <w:shd w:val="clear" w:color="auto" w:fill="auto"/>
            <w:tcMar>
              <w:top w:w="72" w:type="dxa"/>
              <w:left w:w="144" w:type="dxa"/>
              <w:bottom w:w="72" w:type="dxa"/>
              <w:right w:w="144" w:type="dxa"/>
            </w:tcMar>
            <w:vAlign w:val="center"/>
          </w:tcPr>
          <w:p w14:paraId="4DDAE1D9" w14:textId="77777777" w:rsidR="002D3370" w:rsidRDefault="00D159C0" w:rsidP="00C64455">
            <w:pPr>
              <w:spacing w:after="0"/>
              <w:jc w:val="center"/>
              <w:rPr>
                <w:rFonts w:ascii="Arial" w:hAnsi="Arial" w:cs="Arial"/>
                <w:kern w:val="24"/>
                <w:sz w:val="18"/>
                <w:szCs w:val="18"/>
                <w:lang w:val="en-IE" w:eastAsia="en-IE"/>
              </w:rPr>
            </w:pPr>
            <w:r>
              <w:rPr>
                <w:rFonts w:ascii="Arial" w:hAnsi="Arial" w:cs="Arial"/>
                <w:kern w:val="24"/>
                <w:sz w:val="18"/>
                <w:szCs w:val="18"/>
                <w:lang w:val="en-IE" w:eastAsia="en-IE"/>
              </w:rPr>
              <w:t>Tendered Services</w:t>
            </w:r>
          </w:p>
        </w:tc>
        <w:tc>
          <w:tcPr>
            <w:tcW w:w="2536" w:type="dxa"/>
            <w:shd w:val="clear" w:color="auto" w:fill="auto"/>
            <w:tcMar>
              <w:top w:w="15" w:type="dxa"/>
              <w:left w:w="15" w:type="dxa"/>
              <w:bottom w:w="0" w:type="dxa"/>
              <w:right w:w="15" w:type="dxa"/>
            </w:tcMar>
          </w:tcPr>
          <w:p w14:paraId="611717A0" w14:textId="77777777" w:rsidR="002D3370" w:rsidRDefault="00D159C0" w:rsidP="00C64455">
            <w:pPr>
              <w:jc w:val="center"/>
              <w:rPr>
                <w:rFonts w:ascii="Arial" w:hAnsi="Arial" w:cs="Arial"/>
                <w:bCs/>
                <w:kern w:val="24"/>
                <w:sz w:val="18"/>
                <w:szCs w:val="18"/>
                <w:lang w:val="en-IE" w:eastAsia="en-IE"/>
              </w:rPr>
            </w:pPr>
            <w:r>
              <w:rPr>
                <w:rFonts w:ascii="Arial" w:hAnsi="Arial" w:cs="Arial"/>
                <w:bCs/>
                <w:kern w:val="24"/>
                <w:sz w:val="18"/>
                <w:szCs w:val="18"/>
                <w:lang w:val="en-IE" w:eastAsia="en-IE"/>
              </w:rPr>
              <w:t>Bus</w:t>
            </w:r>
          </w:p>
        </w:tc>
        <w:tc>
          <w:tcPr>
            <w:tcW w:w="2280" w:type="dxa"/>
            <w:shd w:val="clear" w:color="auto" w:fill="auto"/>
            <w:tcMar>
              <w:top w:w="15" w:type="dxa"/>
              <w:left w:w="15" w:type="dxa"/>
              <w:bottom w:w="0" w:type="dxa"/>
              <w:right w:w="15" w:type="dxa"/>
            </w:tcMar>
          </w:tcPr>
          <w:p w14:paraId="4DF22E24" w14:textId="77777777" w:rsidR="002D3370" w:rsidRDefault="00D159C0" w:rsidP="00C64455">
            <w:pPr>
              <w:jc w:val="center"/>
              <w:rPr>
                <w:rFonts w:ascii="Arial" w:hAnsi="Arial" w:cs="Arial"/>
                <w:bCs/>
                <w:kern w:val="24"/>
                <w:sz w:val="18"/>
                <w:szCs w:val="18"/>
                <w:lang w:val="en-IE" w:eastAsia="en-IE"/>
              </w:rPr>
            </w:pPr>
            <w:r>
              <w:rPr>
                <w:rFonts w:ascii="Arial" w:hAnsi="Arial" w:cs="Arial"/>
                <w:bCs/>
                <w:kern w:val="24"/>
                <w:sz w:val="18"/>
                <w:szCs w:val="18"/>
                <w:lang w:val="en-IE" w:eastAsia="en-IE"/>
              </w:rPr>
              <w:t>Tendered</w:t>
            </w:r>
          </w:p>
        </w:tc>
        <w:tc>
          <w:tcPr>
            <w:tcW w:w="2279" w:type="dxa"/>
            <w:shd w:val="clear" w:color="auto" w:fill="auto"/>
            <w:tcMar>
              <w:top w:w="15" w:type="dxa"/>
              <w:left w:w="15" w:type="dxa"/>
              <w:bottom w:w="0" w:type="dxa"/>
              <w:right w:w="15" w:type="dxa"/>
            </w:tcMar>
          </w:tcPr>
          <w:p w14:paraId="5EE0ECD3" w14:textId="77777777" w:rsidR="002D3370" w:rsidRDefault="00D159C0" w:rsidP="00C64455">
            <w:pPr>
              <w:jc w:val="center"/>
              <w:rPr>
                <w:rFonts w:ascii="Arial" w:hAnsi="Arial" w:cs="Arial"/>
                <w:bCs/>
                <w:kern w:val="24"/>
                <w:sz w:val="18"/>
                <w:szCs w:val="18"/>
                <w:lang w:val="en-IE" w:eastAsia="en-IE"/>
              </w:rPr>
            </w:pPr>
            <w:r>
              <w:rPr>
                <w:rFonts w:ascii="Arial" w:hAnsi="Arial" w:cs="Arial"/>
                <w:bCs/>
                <w:kern w:val="24"/>
                <w:sz w:val="18"/>
                <w:szCs w:val="18"/>
                <w:lang w:val="en-IE" w:eastAsia="en-IE"/>
              </w:rPr>
              <w:t>Various</w:t>
            </w:r>
          </w:p>
        </w:tc>
      </w:tr>
    </w:tbl>
    <w:p w14:paraId="35E6AC32" w14:textId="77777777" w:rsidR="002D3370" w:rsidRDefault="002D3370" w:rsidP="00EA4D09">
      <w:pPr>
        <w:rPr>
          <w:rFonts w:ascii="Calibri" w:hAnsi="Calibri"/>
          <w:sz w:val="22"/>
          <w:szCs w:val="22"/>
        </w:rPr>
      </w:pPr>
    </w:p>
    <w:p w14:paraId="6D68C65D" w14:textId="77777777" w:rsidR="000B3283" w:rsidRPr="002D3370" w:rsidRDefault="000B3283" w:rsidP="00B2586F">
      <w:pPr>
        <w:spacing w:after="0"/>
        <w:rPr>
          <w:rFonts w:ascii="Calibri" w:hAnsi="Calibri"/>
          <w:sz w:val="22"/>
          <w:szCs w:val="22"/>
        </w:rPr>
      </w:pPr>
      <w:r w:rsidRPr="000B3283">
        <w:rPr>
          <w:rFonts w:ascii="Calibri" w:hAnsi="Calibri"/>
          <w:b/>
          <w:sz w:val="22"/>
          <w:szCs w:val="22"/>
        </w:rPr>
        <w:t>Direct Awards</w:t>
      </w:r>
    </w:p>
    <w:p w14:paraId="678ED392" w14:textId="77777777" w:rsidR="002C2143" w:rsidRDefault="000B3283" w:rsidP="00EA4D09">
      <w:pPr>
        <w:rPr>
          <w:rFonts w:ascii="Calibri" w:hAnsi="Calibri"/>
          <w:sz w:val="22"/>
          <w:szCs w:val="22"/>
        </w:rPr>
      </w:pPr>
      <w:r>
        <w:rPr>
          <w:rFonts w:ascii="Calibri" w:hAnsi="Calibri"/>
          <w:sz w:val="22"/>
          <w:szCs w:val="22"/>
        </w:rPr>
        <w:t>Public Service contacts have been delivered under direct contract awards by the two state owned</w:t>
      </w:r>
      <w:r w:rsidR="00B53E61">
        <w:rPr>
          <w:rFonts w:ascii="Calibri" w:hAnsi="Calibri"/>
          <w:sz w:val="22"/>
          <w:szCs w:val="22"/>
        </w:rPr>
        <w:t xml:space="preserve"> </w:t>
      </w:r>
      <w:r w:rsidR="00874F26">
        <w:rPr>
          <w:rFonts w:ascii="Calibri" w:hAnsi="Calibri"/>
          <w:sz w:val="22"/>
          <w:szCs w:val="22"/>
        </w:rPr>
        <w:t>bus</w:t>
      </w:r>
      <w:r w:rsidR="00EC1CF5">
        <w:rPr>
          <w:rFonts w:ascii="Calibri" w:hAnsi="Calibri"/>
          <w:sz w:val="22"/>
          <w:szCs w:val="22"/>
        </w:rPr>
        <w:t xml:space="preserve"> </w:t>
      </w:r>
      <w:r>
        <w:rPr>
          <w:rFonts w:ascii="Calibri" w:hAnsi="Calibri"/>
          <w:sz w:val="22"/>
          <w:szCs w:val="22"/>
        </w:rPr>
        <w:t>companies</w:t>
      </w:r>
      <w:r w:rsidR="00B53E61">
        <w:rPr>
          <w:rFonts w:ascii="Calibri" w:hAnsi="Calibri"/>
          <w:sz w:val="22"/>
          <w:szCs w:val="22"/>
        </w:rPr>
        <w:t>, Dublin Bus and Bus Éireann,</w:t>
      </w:r>
      <w:r>
        <w:rPr>
          <w:rFonts w:ascii="Calibri" w:hAnsi="Calibri"/>
          <w:sz w:val="22"/>
          <w:szCs w:val="22"/>
        </w:rPr>
        <w:t xml:space="preserve"> since 2009. T</w:t>
      </w:r>
      <w:r w:rsidRPr="000B3283">
        <w:rPr>
          <w:rFonts w:ascii="Calibri" w:hAnsi="Calibri"/>
          <w:sz w:val="22"/>
          <w:szCs w:val="22"/>
        </w:rPr>
        <w:t xml:space="preserve">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 xml:space="preserve">is statutorily obliged to consult with stakeholders including operators and users </w:t>
      </w:r>
      <w:r w:rsidR="00F14397">
        <w:rPr>
          <w:rFonts w:ascii="Calibri" w:hAnsi="Calibri"/>
          <w:sz w:val="22"/>
          <w:szCs w:val="22"/>
        </w:rPr>
        <w:t>of the bus services in question</w:t>
      </w:r>
      <w:r w:rsidRPr="000B3283">
        <w:rPr>
          <w:rFonts w:ascii="Calibri" w:hAnsi="Calibri"/>
          <w:sz w:val="22"/>
          <w:szCs w:val="22"/>
        </w:rPr>
        <w:t xml:space="preserve"> in advance of any decision to directly award bus contracts</w:t>
      </w:r>
      <w:r>
        <w:rPr>
          <w:rFonts w:ascii="Calibri" w:hAnsi="Calibri"/>
          <w:sz w:val="22"/>
          <w:szCs w:val="22"/>
        </w:rPr>
        <w:t xml:space="preserve">. </w:t>
      </w:r>
      <w:r w:rsidRPr="000B3283">
        <w:rPr>
          <w:rFonts w:ascii="Calibri" w:hAnsi="Calibri"/>
          <w:sz w:val="22"/>
          <w:szCs w:val="22"/>
        </w:rPr>
        <w:t>In November</w:t>
      </w:r>
      <w:r>
        <w:rPr>
          <w:rFonts w:ascii="Calibri" w:hAnsi="Calibri"/>
          <w:sz w:val="22"/>
          <w:szCs w:val="22"/>
        </w:rPr>
        <w:t xml:space="preserve"> 2019</w:t>
      </w:r>
      <w:r w:rsidRPr="000B3283">
        <w:rPr>
          <w:rFonts w:ascii="Calibri" w:hAnsi="Calibri"/>
          <w:sz w:val="22"/>
          <w:szCs w:val="22"/>
        </w:rPr>
        <w:t xml:space="preserve">, 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 xml:space="preserve">decided to enter into further direct award contracts with Dublin </w:t>
      </w:r>
      <w:r w:rsidR="00F14397" w:rsidRPr="000B3283">
        <w:rPr>
          <w:rFonts w:ascii="Calibri" w:hAnsi="Calibri"/>
          <w:sz w:val="22"/>
          <w:szCs w:val="22"/>
        </w:rPr>
        <w:t>Bus and</w:t>
      </w:r>
      <w:r w:rsidRPr="000B3283">
        <w:rPr>
          <w:rFonts w:ascii="Calibri" w:hAnsi="Calibri"/>
          <w:sz w:val="22"/>
          <w:szCs w:val="22"/>
        </w:rPr>
        <w:t xml:space="preserve"> </w:t>
      </w:r>
      <w:r w:rsidR="00F14397" w:rsidRPr="000B3283">
        <w:rPr>
          <w:rFonts w:ascii="Calibri" w:hAnsi="Calibri"/>
          <w:sz w:val="22"/>
          <w:szCs w:val="22"/>
        </w:rPr>
        <w:t>Bus Éireann</w:t>
      </w:r>
      <w:r w:rsidRPr="000B3283">
        <w:rPr>
          <w:rFonts w:ascii="Calibri" w:hAnsi="Calibri"/>
          <w:sz w:val="22"/>
          <w:szCs w:val="22"/>
        </w:rPr>
        <w:t xml:space="preserve"> for a five-</w:t>
      </w:r>
      <w:r w:rsidR="00F14397">
        <w:rPr>
          <w:rFonts w:ascii="Calibri" w:hAnsi="Calibri"/>
          <w:sz w:val="22"/>
          <w:szCs w:val="22"/>
        </w:rPr>
        <w:t xml:space="preserve">year period from December 2019. It contained </w:t>
      </w:r>
      <w:r w:rsidRPr="000B3283">
        <w:rPr>
          <w:rFonts w:ascii="Calibri" w:hAnsi="Calibri"/>
          <w:sz w:val="22"/>
          <w:szCs w:val="22"/>
        </w:rPr>
        <w:t xml:space="preserve">a </w:t>
      </w:r>
      <w:r w:rsidR="00F14397" w:rsidRPr="000B3283">
        <w:rPr>
          <w:rFonts w:ascii="Calibri" w:hAnsi="Calibri"/>
          <w:sz w:val="22"/>
          <w:szCs w:val="22"/>
        </w:rPr>
        <w:t>provision</w:t>
      </w:r>
      <w:r w:rsidRPr="000B3283">
        <w:rPr>
          <w:rFonts w:ascii="Calibri" w:hAnsi="Calibri"/>
          <w:sz w:val="22"/>
          <w:szCs w:val="22"/>
        </w:rPr>
        <w:t xml:space="preserve"> in the </w:t>
      </w:r>
      <w:r w:rsidR="00F14397" w:rsidRPr="000B3283">
        <w:rPr>
          <w:rFonts w:ascii="Calibri" w:hAnsi="Calibri"/>
          <w:sz w:val="22"/>
          <w:szCs w:val="22"/>
        </w:rPr>
        <w:t>Bus Éireann</w:t>
      </w:r>
      <w:r w:rsidRPr="000B3283">
        <w:rPr>
          <w:rFonts w:ascii="Calibri" w:hAnsi="Calibri"/>
          <w:sz w:val="22"/>
          <w:szCs w:val="22"/>
        </w:rPr>
        <w:t xml:space="preserve"> contract that a small number of specified routes be removed from the contract and </w:t>
      </w:r>
      <w:r w:rsidR="00060B8D">
        <w:rPr>
          <w:rFonts w:ascii="Calibri" w:hAnsi="Calibri"/>
          <w:sz w:val="22"/>
          <w:szCs w:val="22"/>
        </w:rPr>
        <w:t xml:space="preserve">instead be </w:t>
      </w:r>
      <w:r w:rsidRPr="000B3283">
        <w:rPr>
          <w:rFonts w:ascii="Calibri" w:hAnsi="Calibri"/>
          <w:sz w:val="22"/>
          <w:szCs w:val="22"/>
        </w:rPr>
        <w:t xml:space="preserve">competitively tendered </w:t>
      </w:r>
      <w:r w:rsidR="0077234B">
        <w:rPr>
          <w:rFonts w:ascii="Calibri" w:hAnsi="Calibri"/>
          <w:sz w:val="22"/>
          <w:szCs w:val="22"/>
        </w:rPr>
        <w:t>during</w:t>
      </w:r>
      <w:r w:rsidRPr="000B3283">
        <w:rPr>
          <w:rFonts w:ascii="Calibri" w:hAnsi="Calibri"/>
          <w:sz w:val="22"/>
          <w:szCs w:val="22"/>
        </w:rPr>
        <w:t xml:space="preserve"> 2021.</w:t>
      </w:r>
      <w:r>
        <w:rPr>
          <w:rFonts w:ascii="Calibri" w:hAnsi="Calibri"/>
          <w:sz w:val="22"/>
          <w:szCs w:val="22"/>
        </w:rPr>
        <w:t xml:space="preserve"> </w:t>
      </w:r>
    </w:p>
    <w:p w14:paraId="6D57768E" w14:textId="77777777" w:rsidR="002C2143" w:rsidRPr="002C2143" w:rsidRDefault="002C2143" w:rsidP="002C2143">
      <w:pPr>
        <w:spacing w:after="200" w:line="276" w:lineRule="auto"/>
        <w:rPr>
          <w:rFonts w:ascii="Calibri" w:eastAsia="Calibri" w:hAnsi="Calibri"/>
          <w:spacing w:val="-2"/>
          <w:sz w:val="22"/>
          <w:szCs w:val="22"/>
          <w:lang w:val="en-IE"/>
        </w:rPr>
      </w:pPr>
      <w:r w:rsidRPr="002C2143">
        <w:rPr>
          <w:rFonts w:ascii="Calibri" w:eastAsia="Calibri" w:hAnsi="Calibri"/>
          <w:spacing w:val="-2"/>
          <w:sz w:val="22"/>
          <w:szCs w:val="22"/>
          <w:lang w:val="en-IE"/>
        </w:rPr>
        <w:t xml:space="preserve">Work continued on transitioning the </w:t>
      </w:r>
      <w:r w:rsidR="00B722BD">
        <w:rPr>
          <w:rFonts w:ascii="Calibri" w:eastAsia="Calibri" w:hAnsi="Calibri"/>
          <w:spacing w:val="-2"/>
          <w:sz w:val="22"/>
          <w:szCs w:val="22"/>
          <w:lang w:val="en-IE"/>
        </w:rPr>
        <w:t>NTA’s</w:t>
      </w:r>
      <w:r w:rsidR="00B722BD" w:rsidRPr="002C2143">
        <w:rPr>
          <w:rFonts w:ascii="Calibri" w:eastAsia="Calibri" w:hAnsi="Calibri"/>
          <w:spacing w:val="-2"/>
          <w:sz w:val="22"/>
          <w:szCs w:val="22"/>
          <w:lang w:val="en-IE"/>
        </w:rPr>
        <w:t xml:space="preserve"> </w:t>
      </w:r>
      <w:r w:rsidRPr="002C2143">
        <w:rPr>
          <w:rFonts w:ascii="Calibri" w:eastAsia="Calibri" w:hAnsi="Calibri"/>
          <w:spacing w:val="-2"/>
          <w:sz w:val="22"/>
          <w:szCs w:val="22"/>
          <w:lang w:val="en-IE"/>
        </w:rPr>
        <w:t>direct award contracts with Dublin Bus, Bus Éireann from net cost co</w:t>
      </w:r>
      <w:r w:rsidR="007132CD">
        <w:rPr>
          <w:rFonts w:ascii="Calibri" w:eastAsia="Calibri" w:hAnsi="Calibri"/>
          <w:spacing w:val="-2"/>
          <w:sz w:val="22"/>
          <w:szCs w:val="22"/>
          <w:lang w:val="en-IE"/>
        </w:rPr>
        <w:t>ntracts to gross cost contracts.</w:t>
      </w:r>
      <w:r w:rsidRPr="002C2143">
        <w:rPr>
          <w:rFonts w:ascii="Calibri" w:eastAsia="Calibri" w:hAnsi="Calibri"/>
          <w:spacing w:val="-2"/>
          <w:sz w:val="22"/>
          <w:szCs w:val="22"/>
          <w:lang w:val="en-IE"/>
        </w:rPr>
        <w:t xml:space="preserve"> </w:t>
      </w:r>
    </w:p>
    <w:p w14:paraId="4F6C22B7" w14:textId="77777777" w:rsidR="002C2143" w:rsidRPr="002C2143" w:rsidRDefault="002C2143" w:rsidP="002C2143">
      <w:pPr>
        <w:spacing w:after="200" w:line="276" w:lineRule="auto"/>
        <w:rPr>
          <w:rFonts w:ascii="Calibri" w:eastAsia="Calibri" w:hAnsi="Calibri"/>
          <w:spacing w:val="-2"/>
          <w:sz w:val="22"/>
          <w:szCs w:val="22"/>
          <w:lang w:val="en-IE"/>
        </w:rPr>
      </w:pPr>
      <w:r w:rsidRPr="002C2143">
        <w:rPr>
          <w:rFonts w:ascii="Calibri" w:eastAsia="Calibri" w:hAnsi="Calibri"/>
          <w:spacing w:val="-2"/>
          <w:sz w:val="22"/>
          <w:szCs w:val="22"/>
          <w:lang w:val="en-IE"/>
        </w:rPr>
        <w:t xml:space="preserve">However, progress on a transition to monitoring and incentivising of service performance at an individual route level was delayed due to uncertainties in the operating environment as a result of Covid-19.  </w:t>
      </w:r>
    </w:p>
    <w:p w14:paraId="027CAD83" w14:textId="77777777" w:rsidR="002C2143" w:rsidRDefault="002C2143" w:rsidP="00EA4D09">
      <w:pPr>
        <w:rPr>
          <w:rFonts w:ascii="Calibri" w:hAnsi="Calibri"/>
          <w:sz w:val="22"/>
          <w:szCs w:val="22"/>
        </w:rPr>
      </w:pPr>
    </w:p>
    <w:p w14:paraId="041924B4" w14:textId="77777777" w:rsidR="00EA4D09" w:rsidRDefault="00EA4D09" w:rsidP="00EA4D09">
      <w:pPr>
        <w:rPr>
          <w:rFonts w:ascii="Calibri" w:hAnsi="Calibri"/>
          <w:sz w:val="22"/>
          <w:szCs w:val="22"/>
        </w:rPr>
      </w:pPr>
    </w:p>
    <w:p w14:paraId="53A1C404" w14:textId="77777777" w:rsidR="006205E4" w:rsidRPr="00EA4D09" w:rsidRDefault="006205E4" w:rsidP="00B2586F">
      <w:pPr>
        <w:spacing w:after="0"/>
        <w:rPr>
          <w:rFonts w:ascii="Calibri" w:hAnsi="Calibri"/>
          <w:b/>
          <w:sz w:val="22"/>
          <w:szCs w:val="22"/>
        </w:rPr>
      </w:pPr>
      <w:r>
        <w:rPr>
          <w:rFonts w:ascii="Calibri" w:hAnsi="Calibri"/>
          <w:b/>
          <w:sz w:val="22"/>
          <w:szCs w:val="22"/>
        </w:rPr>
        <w:t xml:space="preserve">Competitively Tendered Contracts </w:t>
      </w:r>
    </w:p>
    <w:p w14:paraId="7FE9A7E1" w14:textId="5A337BAB" w:rsidR="00B6521F" w:rsidRDefault="00B6521F" w:rsidP="0007522A">
      <w:pPr>
        <w:rPr>
          <w:rFonts w:ascii="Calibri" w:hAnsi="Calibri"/>
          <w:sz w:val="22"/>
          <w:szCs w:val="22"/>
        </w:rPr>
      </w:pPr>
      <w:r w:rsidRPr="00B405BB">
        <w:rPr>
          <w:rFonts w:ascii="Calibri" w:hAnsi="Calibri"/>
          <w:sz w:val="22"/>
          <w:szCs w:val="22"/>
        </w:rPr>
        <w:t>In January</w:t>
      </w:r>
      <w:r w:rsidR="00F501AA">
        <w:rPr>
          <w:rFonts w:ascii="Calibri" w:hAnsi="Calibri"/>
          <w:sz w:val="22"/>
          <w:szCs w:val="22"/>
        </w:rPr>
        <w:t xml:space="preserve"> 2020</w:t>
      </w:r>
      <w:bookmarkStart w:id="0" w:name="_GoBack"/>
      <w:bookmarkEnd w:id="0"/>
      <w:r w:rsidRPr="00B405BB">
        <w:rPr>
          <w:rFonts w:ascii="Calibri" w:hAnsi="Calibri"/>
          <w:sz w:val="22"/>
          <w:szCs w:val="22"/>
        </w:rPr>
        <w:t xml:space="preserve">, the phased transfer to Go-Ahead Ireland of commuter bus routes between Kildare and Dublin was completed with the operator taking over the operation of Routes 120 and 120C from Bus Éireann. A number of improvements to services were made and services were also re-numbered to better match service variations. </w:t>
      </w:r>
    </w:p>
    <w:p w14:paraId="41DA5CDF" w14:textId="77777777" w:rsidR="00B6521F" w:rsidRDefault="00B6521F" w:rsidP="0007522A">
      <w:pPr>
        <w:rPr>
          <w:rFonts w:ascii="Calibri" w:hAnsi="Calibri"/>
          <w:sz w:val="22"/>
          <w:szCs w:val="22"/>
        </w:rPr>
      </w:pPr>
      <w:r w:rsidRPr="00B405BB">
        <w:rPr>
          <w:rFonts w:ascii="Calibri" w:hAnsi="Calibri"/>
          <w:sz w:val="22"/>
          <w:szCs w:val="22"/>
        </w:rPr>
        <w:t xml:space="preserve">In early June, the Authority invited operators to submit tenders for the operation of Route 975 between Cavan and Longford. The evaluation of submissions received was completed in December. </w:t>
      </w:r>
    </w:p>
    <w:p w14:paraId="7129B3D8" w14:textId="77777777" w:rsidR="00B6521F" w:rsidRDefault="00B6521F" w:rsidP="0007522A">
      <w:pPr>
        <w:rPr>
          <w:rFonts w:ascii="Calibri" w:hAnsi="Calibri"/>
          <w:sz w:val="22"/>
          <w:szCs w:val="22"/>
        </w:rPr>
      </w:pPr>
      <w:r w:rsidRPr="00B405BB">
        <w:rPr>
          <w:rFonts w:ascii="Calibri" w:hAnsi="Calibri"/>
          <w:sz w:val="22"/>
          <w:szCs w:val="22"/>
        </w:rPr>
        <w:t xml:space="preserve">The Authority extended the terms of a number of existing contracts as follows: </w:t>
      </w:r>
    </w:p>
    <w:p w14:paraId="67E567B1" w14:textId="77777777" w:rsidR="00B6521F" w:rsidRPr="00B6521F" w:rsidRDefault="00B6521F" w:rsidP="00B405BB">
      <w:pPr>
        <w:pStyle w:val="ListParagraph"/>
        <w:numPr>
          <w:ilvl w:val="0"/>
          <w:numId w:val="13"/>
        </w:numPr>
        <w:rPr>
          <w:rFonts w:ascii="Calibri" w:hAnsi="Calibri"/>
          <w:sz w:val="22"/>
          <w:szCs w:val="22"/>
        </w:rPr>
      </w:pPr>
      <w:r w:rsidRPr="00B405BB">
        <w:rPr>
          <w:rFonts w:ascii="Calibri" w:hAnsi="Calibri"/>
          <w:sz w:val="22"/>
          <w:szCs w:val="22"/>
        </w:rPr>
        <w:t>contract with M&amp;A Coaches in respect of Route 828 between Cashel and Portlaoise was extended f</w:t>
      </w:r>
      <w:r w:rsidRPr="00B6521F">
        <w:rPr>
          <w:rFonts w:ascii="Calibri" w:hAnsi="Calibri"/>
          <w:sz w:val="22"/>
          <w:szCs w:val="22"/>
        </w:rPr>
        <w:t xml:space="preserve">rom August 2020 to June 2021; </w:t>
      </w:r>
    </w:p>
    <w:p w14:paraId="66C7E5D0" w14:textId="77777777" w:rsidR="00B6521F" w:rsidRPr="00B6521F" w:rsidRDefault="00B6521F" w:rsidP="00B405BB">
      <w:pPr>
        <w:pStyle w:val="ListParagraph"/>
        <w:numPr>
          <w:ilvl w:val="0"/>
          <w:numId w:val="13"/>
        </w:numPr>
        <w:rPr>
          <w:rFonts w:ascii="Calibri" w:hAnsi="Calibri"/>
          <w:sz w:val="22"/>
          <w:szCs w:val="22"/>
        </w:rPr>
      </w:pPr>
      <w:r w:rsidRPr="00B405BB">
        <w:rPr>
          <w:rFonts w:ascii="Calibri" w:hAnsi="Calibri"/>
          <w:sz w:val="22"/>
          <w:szCs w:val="22"/>
        </w:rPr>
        <w:t>contract with Andrew Wharton in respect of Route 975 between Cavan and Longford was extended from Sept</w:t>
      </w:r>
      <w:r w:rsidRPr="00B6521F">
        <w:rPr>
          <w:rFonts w:ascii="Calibri" w:hAnsi="Calibri"/>
          <w:sz w:val="22"/>
          <w:szCs w:val="22"/>
        </w:rPr>
        <w:t xml:space="preserve">ember 2020 to March 2021; and </w:t>
      </w:r>
    </w:p>
    <w:p w14:paraId="1DC847B6" w14:textId="77777777" w:rsidR="00B6521F" w:rsidRPr="00B405BB" w:rsidRDefault="00B6521F" w:rsidP="00B405BB">
      <w:pPr>
        <w:pStyle w:val="ListParagraph"/>
        <w:numPr>
          <w:ilvl w:val="0"/>
          <w:numId w:val="13"/>
        </w:numPr>
        <w:rPr>
          <w:rFonts w:ascii="Calibri" w:hAnsi="Calibri"/>
          <w:sz w:val="22"/>
          <w:szCs w:val="22"/>
        </w:rPr>
      </w:pPr>
      <w:r w:rsidRPr="00B405BB">
        <w:rPr>
          <w:rFonts w:ascii="Calibri" w:hAnsi="Calibri"/>
          <w:sz w:val="22"/>
          <w:szCs w:val="22"/>
        </w:rPr>
        <w:t>contract with Bernard Kavanagh &amp; Sons Limited in respect of Route 817 between Dublin and Kilkenny extended from December 2020 to June 2021.</w:t>
      </w:r>
    </w:p>
    <w:p w14:paraId="2773E138" w14:textId="77777777" w:rsidR="002C2143" w:rsidRPr="002C2143" w:rsidRDefault="002C2143" w:rsidP="00B2586F">
      <w:pPr>
        <w:keepNext/>
        <w:spacing w:before="240" w:after="0" w:line="276" w:lineRule="auto"/>
        <w:outlineLvl w:val="1"/>
        <w:rPr>
          <w:rFonts w:ascii="Calibri" w:eastAsia="Calibri" w:hAnsi="Calibri"/>
          <w:b/>
          <w:bCs/>
          <w:spacing w:val="-2"/>
          <w:szCs w:val="24"/>
          <w:lang w:val="en-IE"/>
        </w:rPr>
      </w:pPr>
      <w:bookmarkStart w:id="1" w:name="_Toc73112721"/>
      <w:r w:rsidRPr="002C2143">
        <w:rPr>
          <w:rFonts w:ascii="Calibri" w:eastAsia="Calibri" w:hAnsi="Calibri"/>
          <w:b/>
          <w:bCs/>
          <w:spacing w:val="-2"/>
          <w:szCs w:val="24"/>
          <w:lang w:val="en-IE"/>
        </w:rPr>
        <w:t>Passenger Numbers</w:t>
      </w:r>
      <w:bookmarkEnd w:id="1"/>
    </w:p>
    <w:p w14:paraId="2393DB7D" w14:textId="77777777" w:rsidR="002C2143" w:rsidRPr="002C2143" w:rsidRDefault="002C2143" w:rsidP="002C2143">
      <w:pPr>
        <w:spacing w:after="200" w:line="276" w:lineRule="auto"/>
        <w:rPr>
          <w:rFonts w:ascii="Calibri" w:eastAsia="Calibri" w:hAnsi="Calibri"/>
          <w:sz w:val="22"/>
          <w:szCs w:val="22"/>
          <w:lang w:val="en-IE"/>
        </w:rPr>
      </w:pPr>
      <w:r w:rsidRPr="002C2143">
        <w:rPr>
          <w:rFonts w:ascii="Calibri" w:eastAsia="Calibri" w:hAnsi="Calibri"/>
          <w:sz w:val="22"/>
          <w:szCs w:val="22"/>
          <w:lang w:val="en-IE"/>
        </w:rPr>
        <w:t xml:space="preserve">Covid-19 had a devastating impact on public transport patronage from March </w:t>
      </w:r>
      <w:r>
        <w:rPr>
          <w:rFonts w:ascii="Calibri" w:eastAsia="Calibri" w:hAnsi="Calibri"/>
          <w:sz w:val="22"/>
          <w:szCs w:val="22"/>
          <w:lang w:val="en-IE"/>
        </w:rPr>
        <w:t xml:space="preserve">2020 </w:t>
      </w:r>
      <w:r w:rsidRPr="002C2143">
        <w:rPr>
          <w:rFonts w:ascii="Calibri" w:eastAsia="Calibri" w:hAnsi="Calibri"/>
          <w:sz w:val="22"/>
          <w:szCs w:val="22"/>
          <w:lang w:val="en-IE"/>
        </w:rPr>
        <w:t>onwards due to the necessity to impose restrictions on people’s movements and on the number of passengers permitted on public transport vehicles in order to ensure the safety of passengers and prevent the spread of Covid-19.</w:t>
      </w:r>
    </w:p>
    <w:p w14:paraId="7A582273" w14:textId="77777777" w:rsidR="007132CD" w:rsidRPr="002C2143" w:rsidRDefault="007132CD" w:rsidP="002C2143">
      <w:pPr>
        <w:spacing w:after="200" w:line="276" w:lineRule="auto"/>
        <w:rPr>
          <w:rFonts w:ascii="Calibri" w:eastAsia="Calibri" w:hAnsi="Calibri"/>
          <w:color w:val="FF0000"/>
          <w:sz w:val="22"/>
          <w:szCs w:val="22"/>
          <w:lang w:val="en-IE"/>
        </w:rPr>
      </w:pPr>
    </w:p>
    <w:tbl>
      <w:tblPr>
        <w:tblW w:w="8055" w:type="dxa"/>
        <w:tblInd w:w="-1" w:type="dxa"/>
        <w:tblCellMar>
          <w:left w:w="0" w:type="dxa"/>
          <w:right w:w="0" w:type="dxa"/>
        </w:tblCellMar>
        <w:tblLook w:val="04A0" w:firstRow="1" w:lastRow="0" w:firstColumn="1" w:lastColumn="0" w:noHBand="0" w:noVBand="1"/>
      </w:tblPr>
      <w:tblGrid>
        <w:gridCol w:w="723"/>
        <w:gridCol w:w="1600"/>
        <w:gridCol w:w="1420"/>
        <w:gridCol w:w="1336"/>
        <w:gridCol w:w="1640"/>
        <w:gridCol w:w="1336"/>
      </w:tblGrid>
      <w:tr w:rsidR="00296598" w14:paraId="27D62BBA" w14:textId="77777777" w:rsidTr="00296598">
        <w:trPr>
          <w:trHeight w:val="288"/>
        </w:trPr>
        <w:tc>
          <w:tcPr>
            <w:tcW w:w="5079"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2E8007" w14:textId="77777777" w:rsidR="00296598" w:rsidRPr="00425198" w:rsidRDefault="00296598">
            <w:pPr>
              <w:jc w:val="center"/>
              <w:rPr>
                <w:rFonts w:asciiTheme="minorHAnsi" w:hAnsiTheme="minorHAnsi" w:cstheme="minorHAnsi"/>
                <w:color w:val="000000"/>
                <w:sz w:val="22"/>
                <w:szCs w:val="22"/>
                <w:lang w:val="en-IE" w:eastAsia="en-IE"/>
              </w:rPr>
            </w:pPr>
            <w:r w:rsidRPr="00425198">
              <w:rPr>
                <w:rFonts w:asciiTheme="minorHAnsi" w:hAnsiTheme="minorHAnsi" w:cstheme="minorHAnsi"/>
                <w:color w:val="000000"/>
                <w:sz w:val="22"/>
                <w:szCs w:val="22"/>
                <w:lang w:eastAsia="en-IE"/>
              </w:rPr>
              <w:t>Bus Service Passenger Trips (in millions)</w:t>
            </w:r>
          </w:p>
        </w:tc>
        <w:tc>
          <w:tcPr>
            <w:tcW w:w="297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F255E5"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Percent of Total</w:t>
            </w:r>
          </w:p>
        </w:tc>
      </w:tr>
      <w:tr w:rsidR="00296598" w14:paraId="66D896EF" w14:textId="77777777" w:rsidTr="00296598">
        <w:trPr>
          <w:trHeight w:val="540"/>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84A06" w14:textId="77777777" w:rsidR="00296598" w:rsidRPr="00425198" w:rsidRDefault="00296598">
            <w:pPr>
              <w:jc w:val="center"/>
              <w:rPr>
                <w:rFonts w:asciiTheme="minorHAnsi" w:hAnsiTheme="minorHAnsi" w:cstheme="minorHAnsi"/>
                <w:b/>
                <w:bCs/>
                <w:color w:val="000000"/>
                <w:lang w:eastAsia="en-IE"/>
              </w:rPr>
            </w:pPr>
            <w:r w:rsidRPr="00425198">
              <w:rPr>
                <w:rFonts w:asciiTheme="minorHAnsi" w:hAnsiTheme="minorHAnsi" w:cstheme="minorHAnsi"/>
                <w:b/>
                <w:bCs/>
                <w:color w:val="000000"/>
                <w:lang w:eastAsia="en-IE"/>
              </w:rPr>
              <w:t>Year</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C9EA5" w14:textId="77777777" w:rsidR="00296598" w:rsidRPr="00425198" w:rsidRDefault="00296598">
            <w:pPr>
              <w:jc w:val="center"/>
              <w:rPr>
                <w:rFonts w:asciiTheme="minorHAnsi" w:hAnsiTheme="minorHAnsi" w:cstheme="minorHAnsi"/>
                <w:b/>
                <w:bCs/>
                <w:color w:val="000000"/>
                <w:sz w:val="22"/>
                <w:szCs w:val="22"/>
                <w:lang w:eastAsia="en-IE"/>
              </w:rPr>
            </w:pPr>
            <w:r w:rsidRPr="00425198">
              <w:rPr>
                <w:rFonts w:asciiTheme="minorHAnsi" w:hAnsiTheme="minorHAnsi" w:cstheme="minorHAnsi"/>
                <w:b/>
                <w:bCs/>
                <w:color w:val="000000"/>
                <w:sz w:val="22"/>
                <w:szCs w:val="22"/>
                <w:lang w:eastAsia="en-IE"/>
              </w:rPr>
              <w:t>Commercial Bus Services</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F114E" w14:textId="77777777" w:rsidR="00296598" w:rsidRPr="00425198" w:rsidRDefault="00296598">
            <w:pPr>
              <w:jc w:val="center"/>
              <w:rPr>
                <w:rFonts w:asciiTheme="minorHAnsi" w:hAnsiTheme="minorHAnsi" w:cstheme="minorHAnsi"/>
                <w:b/>
                <w:bCs/>
                <w:color w:val="000000"/>
                <w:sz w:val="22"/>
                <w:szCs w:val="22"/>
                <w:lang w:eastAsia="en-IE"/>
              </w:rPr>
            </w:pPr>
            <w:r w:rsidRPr="00425198">
              <w:rPr>
                <w:rFonts w:asciiTheme="minorHAnsi" w:hAnsiTheme="minorHAnsi" w:cstheme="minorHAnsi"/>
                <w:b/>
                <w:bCs/>
                <w:color w:val="000000"/>
                <w:sz w:val="22"/>
                <w:szCs w:val="22"/>
                <w:lang w:eastAsia="en-IE"/>
              </w:rPr>
              <w:t>Total PSO Bus Services</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7D6CC" w14:textId="77777777" w:rsidR="00296598" w:rsidRPr="00425198" w:rsidRDefault="00296598">
            <w:pPr>
              <w:jc w:val="center"/>
              <w:rPr>
                <w:rFonts w:asciiTheme="minorHAnsi" w:hAnsiTheme="minorHAnsi" w:cstheme="minorHAnsi"/>
                <w:b/>
                <w:bCs/>
                <w:color w:val="000000"/>
                <w:sz w:val="22"/>
                <w:szCs w:val="22"/>
                <w:lang w:eastAsia="en-IE"/>
              </w:rPr>
            </w:pPr>
            <w:r w:rsidRPr="00425198">
              <w:rPr>
                <w:rFonts w:asciiTheme="minorHAnsi" w:hAnsiTheme="minorHAnsi" w:cstheme="minorHAnsi"/>
                <w:b/>
                <w:bCs/>
                <w:color w:val="000000"/>
                <w:sz w:val="22"/>
                <w:szCs w:val="22"/>
                <w:lang w:eastAsia="en-IE"/>
              </w:rPr>
              <w:t>Total Bus Passengers</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81485" w14:textId="77777777" w:rsidR="00296598" w:rsidRPr="00425198" w:rsidRDefault="00296598">
            <w:pPr>
              <w:jc w:val="center"/>
              <w:rPr>
                <w:rFonts w:asciiTheme="minorHAnsi" w:hAnsiTheme="minorHAnsi" w:cstheme="minorHAnsi"/>
                <w:b/>
                <w:bCs/>
                <w:color w:val="000000"/>
                <w:sz w:val="22"/>
                <w:szCs w:val="22"/>
                <w:lang w:eastAsia="en-IE"/>
              </w:rPr>
            </w:pPr>
            <w:r w:rsidRPr="00425198">
              <w:rPr>
                <w:rFonts w:asciiTheme="minorHAnsi" w:hAnsiTheme="minorHAnsi" w:cstheme="minorHAnsi"/>
                <w:b/>
                <w:bCs/>
                <w:color w:val="000000"/>
                <w:sz w:val="22"/>
                <w:szCs w:val="22"/>
                <w:lang w:eastAsia="en-IE"/>
              </w:rPr>
              <w:t xml:space="preserve">Commercial Bus Passengers </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805EF" w14:textId="77777777" w:rsidR="00296598" w:rsidRPr="00425198" w:rsidRDefault="00296598">
            <w:pPr>
              <w:jc w:val="center"/>
              <w:rPr>
                <w:rFonts w:asciiTheme="minorHAnsi" w:hAnsiTheme="minorHAnsi" w:cstheme="minorHAnsi"/>
                <w:b/>
                <w:bCs/>
                <w:color w:val="000000"/>
                <w:sz w:val="22"/>
                <w:szCs w:val="22"/>
                <w:lang w:eastAsia="en-IE"/>
              </w:rPr>
            </w:pPr>
            <w:r w:rsidRPr="00425198">
              <w:rPr>
                <w:rFonts w:asciiTheme="minorHAnsi" w:hAnsiTheme="minorHAnsi" w:cstheme="minorHAnsi"/>
                <w:b/>
                <w:bCs/>
                <w:color w:val="000000"/>
                <w:sz w:val="22"/>
                <w:szCs w:val="22"/>
                <w:lang w:eastAsia="en-IE"/>
              </w:rPr>
              <w:t>PSO Bus Passengers</w:t>
            </w:r>
          </w:p>
        </w:tc>
      </w:tr>
      <w:tr w:rsidR="00296598" w14:paraId="5C3A6884" w14:textId="77777777" w:rsidTr="00296598">
        <w:trPr>
          <w:trHeight w:val="288"/>
        </w:trPr>
        <w:tc>
          <w:tcPr>
            <w:tcW w:w="7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234B6F" w14:textId="77777777" w:rsidR="00296598" w:rsidRPr="00425198" w:rsidRDefault="00296598">
            <w:pPr>
              <w:jc w:val="center"/>
              <w:rPr>
                <w:rFonts w:asciiTheme="minorHAnsi" w:hAnsiTheme="minorHAnsi" w:cstheme="minorHAnsi"/>
                <w:color w:val="000000"/>
                <w:lang w:eastAsia="en-IE"/>
              </w:rPr>
            </w:pPr>
            <w:r w:rsidRPr="00425198">
              <w:rPr>
                <w:rFonts w:asciiTheme="minorHAnsi" w:hAnsiTheme="minorHAnsi" w:cstheme="minorHAnsi"/>
                <w:color w:val="000000"/>
                <w:lang w:eastAsia="en-IE"/>
              </w:rPr>
              <w:t>2019</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11976C"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30.52</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EAE99D"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196.2</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13501"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226.72</w:t>
            </w:r>
          </w:p>
        </w:tc>
        <w:tc>
          <w:tcPr>
            <w:tcW w:w="1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B42B4"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13.5%</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AB6FA"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86.5%</w:t>
            </w:r>
          </w:p>
        </w:tc>
      </w:tr>
      <w:tr w:rsidR="00296598" w14:paraId="53F4A4FB" w14:textId="77777777" w:rsidTr="00296598">
        <w:trPr>
          <w:trHeight w:val="288"/>
        </w:trPr>
        <w:tc>
          <w:tcPr>
            <w:tcW w:w="7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C865AC" w14:textId="77777777" w:rsidR="00296598" w:rsidRPr="00425198" w:rsidRDefault="00296598">
            <w:pPr>
              <w:jc w:val="center"/>
              <w:rPr>
                <w:rFonts w:asciiTheme="minorHAnsi" w:hAnsiTheme="minorHAnsi" w:cstheme="minorHAnsi"/>
                <w:color w:val="000000"/>
                <w:lang w:eastAsia="en-IE"/>
              </w:rPr>
            </w:pPr>
            <w:r w:rsidRPr="00425198">
              <w:rPr>
                <w:rFonts w:asciiTheme="minorHAnsi" w:hAnsiTheme="minorHAnsi" w:cstheme="minorHAnsi"/>
                <w:color w:val="000000"/>
                <w:lang w:eastAsia="en-IE"/>
              </w:rPr>
              <w:t>2020</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F14987"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9.43</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9EBC46"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100.6</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A9A990"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110.03</w:t>
            </w:r>
          </w:p>
        </w:tc>
        <w:tc>
          <w:tcPr>
            <w:tcW w:w="16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DAD4E1"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8.6%</w:t>
            </w:r>
          </w:p>
        </w:tc>
        <w:tc>
          <w:tcPr>
            <w:tcW w:w="13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256DDE" w14:textId="77777777" w:rsidR="00296598" w:rsidRPr="00425198" w:rsidRDefault="00296598">
            <w:pPr>
              <w:jc w:val="center"/>
              <w:rPr>
                <w:rFonts w:asciiTheme="minorHAnsi" w:hAnsiTheme="minorHAnsi" w:cstheme="minorHAnsi"/>
                <w:color w:val="000000"/>
                <w:sz w:val="22"/>
                <w:szCs w:val="22"/>
                <w:lang w:eastAsia="en-IE"/>
              </w:rPr>
            </w:pPr>
            <w:r w:rsidRPr="00425198">
              <w:rPr>
                <w:rFonts w:asciiTheme="minorHAnsi" w:hAnsiTheme="minorHAnsi" w:cstheme="minorHAnsi"/>
                <w:color w:val="000000"/>
                <w:sz w:val="22"/>
                <w:szCs w:val="22"/>
                <w:lang w:eastAsia="en-IE"/>
              </w:rPr>
              <w:t>91.4%</w:t>
            </w:r>
          </w:p>
        </w:tc>
      </w:tr>
    </w:tbl>
    <w:p w14:paraId="6B6A0806" w14:textId="77777777" w:rsidR="00AC076F" w:rsidRDefault="00AC076F" w:rsidP="00EA4D09">
      <w:pPr>
        <w:rPr>
          <w:rFonts w:ascii="Calibri" w:hAnsi="Calibri"/>
          <w:b/>
          <w:sz w:val="22"/>
          <w:szCs w:val="22"/>
        </w:rPr>
      </w:pPr>
    </w:p>
    <w:p w14:paraId="5DC2BC06" w14:textId="77777777" w:rsidR="00EA4D09" w:rsidRPr="00EA4D09" w:rsidRDefault="00EA4D09" w:rsidP="00EA4D09">
      <w:pPr>
        <w:rPr>
          <w:rFonts w:ascii="Calibri" w:hAnsi="Calibri"/>
          <w:sz w:val="22"/>
          <w:szCs w:val="22"/>
        </w:rPr>
      </w:pPr>
      <w:r w:rsidRPr="00EA4D09">
        <w:rPr>
          <w:rFonts w:ascii="Calibri" w:hAnsi="Calibri"/>
          <w:sz w:val="22"/>
          <w:szCs w:val="22"/>
        </w:rPr>
        <w:t xml:space="preserve">Dublin Bus provide the bulk of city services in Dublin and support the most passenger journeys in Ireland.  Bus Éireann provide the majority of PSO services outside of Dublin.  This includes PSO </w:t>
      </w:r>
      <w:r w:rsidR="001840B2" w:rsidRPr="001840B2">
        <w:rPr>
          <w:rFonts w:ascii="Calibri" w:hAnsi="Calibri"/>
          <w:sz w:val="22"/>
          <w:szCs w:val="22"/>
        </w:rPr>
        <w:t>local bus services throughout Ireland, city and town bus services</w:t>
      </w:r>
      <w:r w:rsidR="001840B2">
        <w:rPr>
          <w:rFonts w:ascii="Calibri" w:hAnsi="Calibri"/>
          <w:sz w:val="22"/>
          <w:szCs w:val="22"/>
        </w:rPr>
        <w:t xml:space="preserve">, and </w:t>
      </w:r>
      <w:r w:rsidR="001840B2" w:rsidRPr="001840B2">
        <w:rPr>
          <w:rFonts w:ascii="Calibri" w:hAnsi="Calibri"/>
          <w:sz w:val="22"/>
          <w:szCs w:val="22"/>
        </w:rPr>
        <w:t>commuter bus services radiating from Dublin, Cork, Limerick, Galway, and Waterford</w:t>
      </w:r>
      <w:r w:rsidRPr="00EA4D09">
        <w:rPr>
          <w:rFonts w:ascii="Calibri" w:hAnsi="Calibri"/>
          <w:sz w:val="22"/>
          <w:szCs w:val="22"/>
        </w:rPr>
        <w:t>.</w:t>
      </w:r>
    </w:p>
    <w:p w14:paraId="12B4171C" w14:textId="77777777" w:rsidR="00EA4D09" w:rsidRPr="001E60A6" w:rsidRDefault="00EA4D09" w:rsidP="00EA4D09">
      <w:pPr>
        <w:rPr>
          <w:rFonts w:ascii="Calibri" w:hAnsi="Calibri"/>
          <w:sz w:val="22"/>
          <w:szCs w:val="22"/>
        </w:rPr>
      </w:pPr>
      <w:r w:rsidRPr="001E60A6">
        <w:rPr>
          <w:rFonts w:ascii="Calibri" w:hAnsi="Calibri"/>
          <w:sz w:val="22"/>
          <w:szCs w:val="22"/>
        </w:rPr>
        <w:t xml:space="preserve">The Rural Transport Programme provides bus services in many isolated areas of rural Ireland with journeys tending to be local in nature and approximately 75% of them being delivered door to door.  The </w:t>
      </w:r>
      <w:r w:rsidR="00B722BD" w:rsidRPr="001E60A6">
        <w:rPr>
          <w:rFonts w:ascii="Calibri" w:hAnsi="Calibri"/>
          <w:sz w:val="22"/>
          <w:szCs w:val="22"/>
        </w:rPr>
        <w:t>NTA</w:t>
      </w:r>
      <w:r w:rsidRPr="001E60A6">
        <w:rPr>
          <w:rFonts w:ascii="Calibri" w:hAnsi="Calibri"/>
          <w:sz w:val="22"/>
          <w:szCs w:val="22"/>
        </w:rPr>
        <w:t xml:space="preserve"> took over the management of the programme, which is grant aided by the </w:t>
      </w:r>
      <w:r w:rsidR="00B53E61" w:rsidRPr="001E60A6">
        <w:rPr>
          <w:rFonts w:ascii="Calibri" w:hAnsi="Calibri"/>
          <w:sz w:val="22"/>
          <w:szCs w:val="22"/>
        </w:rPr>
        <w:t>S</w:t>
      </w:r>
      <w:r w:rsidRPr="001E60A6">
        <w:rPr>
          <w:rFonts w:ascii="Calibri" w:hAnsi="Calibri"/>
          <w:sz w:val="22"/>
          <w:szCs w:val="22"/>
        </w:rPr>
        <w:t>tate</w:t>
      </w:r>
      <w:r w:rsidR="00A95DFB" w:rsidRPr="001E60A6">
        <w:rPr>
          <w:rFonts w:ascii="Calibri" w:hAnsi="Calibri"/>
          <w:sz w:val="22"/>
          <w:szCs w:val="22"/>
        </w:rPr>
        <w:t>,</w:t>
      </w:r>
      <w:r w:rsidRPr="001E60A6">
        <w:rPr>
          <w:rFonts w:ascii="Calibri" w:hAnsi="Calibri"/>
          <w:sz w:val="22"/>
          <w:szCs w:val="22"/>
        </w:rPr>
        <w:t xml:space="preserve"> in 2012.  </w:t>
      </w:r>
    </w:p>
    <w:p w14:paraId="21E75A5A" w14:textId="77777777" w:rsidR="00B405BB" w:rsidRDefault="00B405BB" w:rsidP="00EA4D09">
      <w:pPr>
        <w:spacing w:after="100" w:afterAutospacing="1"/>
        <w:rPr>
          <w:rFonts w:ascii="Calibri" w:hAnsi="Calibri"/>
          <w:b/>
          <w:sz w:val="22"/>
          <w:szCs w:val="22"/>
        </w:rPr>
      </w:pPr>
    </w:p>
    <w:p w14:paraId="567F3545" w14:textId="77777777" w:rsidR="00B2586F" w:rsidRDefault="00B2586F" w:rsidP="00EA4D09">
      <w:pPr>
        <w:spacing w:after="100" w:afterAutospacing="1"/>
        <w:rPr>
          <w:rFonts w:ascii="Calibri" w:hAnsi="Calibri"/>
          <w:b/>
          <w:sz w:val="22"/>
          <w:szCs w:val="22"/>
        </w:rPr>
      </w:pPr>
    </w:p>
    <w:p w14:paraId="7E53BDCA" w14:textId="77777777" w:rsidR="00B2586F" w:rsidRDefault="00B2586F" w:rsidP="00EA4D09">
      <w:pPr>
        <w:spacing w:after="100" w:afterAutospacing="1"/>
        <w:rPr>
          <w:rFonts w:ascii="Calibri" w:hAnsi="Calibri"/>
          <w:b/>
          <w:sz w:val="22"/>
          <w:szCs w:val="22"/>
        </w:rPr>
      </w:pPr>
    </w:p>
    <w:p w14:paraId="4381E59E" w14:textId="5C4280CA" w:rsidR="00EA4D09" w:rsidRPr="00EA4D09" w:rsidRDefault="00EA4D09" w:rsidP="00B2586F">
      <w:pPr>
        <w:spacing w:after="0"/>
        <w:rPr>
          <w:rFonts w:ascii="Calibri" w:hAnsi="Calibri"/>
          <w:b/>
          <w:sz w:val="22"/>
          <w:szCs w:val="22"/>
        </w:rPr>
      </w:pPr>
      <w:r w:rsidRPr="00EA4D09">
        <w:rPr>
          <w:rFonts w:ascii="Calibri" w:hAnsi="Calibri"/>
          <w:b/>
          <w:sz w:val="22"/>
          <w:szCs w:val="22"/>
        </w:rPr>
        <w:t>Commercial Services</w:t>
      </w:r>
    </w:p>
    <w:p w14:paraId="6952BDB4" w14:textId="315EFEDC" w:rsidR="0077234B" w:rsidRDefault="00EA4D09" w:rsidP="00763371">
      <w:pPr>
        <w:rPr>
          <w:rFonts w:ascii="Calibri" w:hAnsi="Calibri"/>
          <w:color w:val="FF0000"/>
          <w:sz w:val="22"/>
          <w:szCs w:val="22"/>
        </w:rPr>
      </w:pPr>
      <w:r w:rsidRPr="00EA4D09">
        <w:rPr>
          <w:rFonts w:ascii="Calibri" w:hAnsi="Calibri"/>
          <w:sz w:val="22"/>
          <w:szCs w:val="22"/>
        </w:rPr>
        <w:t xml:space="preserve">Commercial </w:t>
      </w:r>
      <w:r w:rsidR="00060B8D">
        <w:rPr>
          <w:rFonts w:ascii="Calibri" w:hAnsi="Calibri"/>
          <w:sz w:val="22"/>
          <w:szCs w:val="22"/>
        </w:rPr>
        <w:t xml:space="preserve">public </w:t>
      </w:r>
      <w:r w:rsidRPr="00EA4D09">
        <w:rPr>
          <w:rFonts w:ascii="Calibri" w:hAnsi="Calibri"/>
          <w:sz w:val="22"/>
          <w:szCs w:val="22"/>
        </w:rPr>
        <w:t xml:space="preserve">bus passenger services operating within the State are licensed by the </w:t>
      </w:r>
      <w:r w:rsidR="00B722BD">
        <w:rPr>
          <w:rFonts w:ascii="Calibri" w:hAnsi="Calibri"/>
          <w:sz w:val="22"/>
          <w:szCs w:val="22"/>
        </w:rPr>
        <w:t>NTA</w:t>
      </w:r>
      <w:r w:rsidR="00FF29CA">
        <w:rPr>
          <w:rFonts w:ascii="Calibri" w:hAnsi="Calibri"/>
          <w:sz w:val="22"/>
          <w:szCs w:val="22"/>
        </w:rPr>
        <w:t xml:space="preserve"> under the Public Transport Regulation Act 2009</w:t>
      </w:r>
      <w:r w:rsidRPr="00EA4D09">
        <w:rPr>
          <w:rFonts w:ascii="Calibri" w:hAnsi="Calibri"/>
          <w:sz w:val="22"/>
          <w:szCs w:val="22"/>
        </w:rPr>
        <w:t xml:space="preserve">.  Any person or </w:t>
      </w:r>
      <w:r w:rsidR="00A95DFB">
        <w:rPr>
          <w:rFonts w:ascii="Calibri" w:hAnsi="Calibri"/>
          <w:sz w:val="22"/>
          <w:szCs w:val="22"/>
        </w:rPr>
        <w:t xml:space="preserve">party may apply for a licence. </w:t>
      </w:r>
      <w:r w:rsidRPr="00EA4D09">
        <w:rPr>
          <w:rFonts w:ascii="Calibri" w:hAnsi="Calibri"/>
          <w:sz w:val="22"/>
          <w:szCs w:val="22"/>
        </w:rPr>
        <w:t xml:space="preserve"> These licenced services are often called “commercial” bus services because they are operated without any subsidy</w:t>
      </w:r>
      <w:r w:rsidR="002405C3">
        <w:rPr>
          <w:rFonts w:ascii="Calibri" w:hAnsi="Calibri"/>
          <w:sz w:val="22"/>
          <w:szCs w:val="22"/>
        </w:rPr>
        <w:t xml:space="preserve"> from the </w:t>
      </w:r>
      <w:r w:rsidR="00B722BD">
        <w:rPr>
          <w:rFonts w:ascii="Calibri" w:hAnsi="Calibri"/>
          <w:sz w:val="22"/>
          <w:szCs w:val="22"/>
        </w:rPr>
        <w:t>NTA</w:t>
      </w:r>
      <w:r w:rsidRPr="00EA4D09">
        <w:rPr>
          <w:rFonts w:ascii="Calibri" w:hAnsi="Calibri"/>
          <w:sz w:val="22"/>
          <w:szCs w:val="22"/>
        </w:rPr>
        <w:t xml:space="preserve">. </w:t>
      </w:r>
      <w:r w:rsidR="00874F26">
        <w:rPr>
          <w:rFonts w:ascii="Calibri" w:hAnsi="Calibri"/>
          <w:sz w:val="22"/>
          <w:szCs w:val="22"/>
        </w:rPr>
        <w:t xml:space="preserve"> </w:t>
      </w:r>
      <w:r w:rsidR="002405C3">
        <w:rPr>
          <w:rFonts w:ascii="Calibri" w:hAnsi="Calibri"/>
          <w:sz w:val="22"/>
          <w:szCs w:val="22"/>
        </w:rPr>
        <w:t xml:space="preserve">Some do, however, take part in the Department of Social Protection’s Free Travel Scheme and receive payments for the fare forgone for carrying passengers entitled to free travel. </w:t>
      </w:r>
      <w:r w:rsidRPr="00EA4D09">
        <w:rPr>
          <w:rFonts w:ascii="Calibri" w:hAnsi="Calibri"/>
          <w:sz w:val="22"/>
          <w:szCs w:val="22"/>
        </w:rPr>
        <w:t xml:space="preserve">The </w:t>
      </w:r>
      <w:r w:rsidR="00FF29CA">
        <w:rPr>
          <w:rFonts w:ascii="Calibri" w:hAnsi="Calibri"/>
          <w:sz w:val="22"/>
          <w:szCs w:val="22"/>
        </w:rPr>
        <w:t xml:space="preserve">two </w:t>
      </w:r>
      <w:r w:rsidRPr="00EA4D09">
        <w:rPr>
          <w:rFonts w:ascii="Calibri" w:hAnsi="Calibri"/>
          <w:sz w:val="22"/>
          <w:szCs w:val="22"/>
        </w:rPr>
        <w:t xml:space="preserve">state owned </w:t>
      </w:r>
      <w:r w:rsidR="00FF29CA">
        <w:rPr>
          <w:rFonts w:ascii="Calibri" w:hAnsi="Calibri"/>
          <w:sz w:val="22"/>
          <w:szCs w:val="22"/>
        </w:rPr>
        <w:t xml:space="preserve">bus </w:t>
      </w:r>
      <w:r w:rsidR="00FC33BA" w:rsidRPr="00EA4D09">
        <w:rPr>
          <w:rFonts w:ascii="Calibri" w:hAnsi="Calibri"/>
          <w:sz w:val="22"/>
          <w:szCs w:val="22"/>
        </w:rPr>
        <w:t xml:space="preserve">companies </w:t>
      </w:r>
      <w:r w:rsidRPr="00EA4D09">
        <w:rPr>
          <w:rFonts w:ascii="Calibri" w:hAnsi="Calibri"/>
          <w:sz w:val="22"/>
          <w:szCs w:val="22"/>
        </w:rPr>
        <w:t>also provide comm</w:t>
      </w:r>
      <w:r w:rsidR="002925BF">
        <w:rPr>
          <w:rFonts w:ascii="Calibri" w:hAnsi="Calibri"/>
          <w:sz w:val="22"/>
          <w:szCs w:val="22"/>
        </w:rPr>
        <w:t xml:space="preserve">ercial services under </w:t>
      </w:r>
      <w:r w:rsidR="002925BF" w:rsidRPr="00300AC3">
        <w:rPr>
          <w:rFonts w:ascii="Calibri" w:hAnsi="Calibri"/>
          <w:sz w:val="22"/>
          <w:szCs w:val="22"/>
        </w:rPr>
        <w:t>licence</w:t>
      </w:r>
      <w:r w:rsidR="002925BF" w:rsidRPr="002C2143">
        <w:rPr>
          <w:rFonts w:ascii="Calibri" w:hAnsi="Calibri"/>
          <w:color w:val="FF0000"/>
          <w:sz w:val="22"/>
          <w:szCs w:val="22"/>
        </w:rPr>
        <w:t xml:space="preserve">. </w:t>
      </w:r>
    </w:p>
    <w:p w14:paraId="2BC285CC" w14:textId="609AD6EA" w:rsidR="00B91D04" w:rsidRPr="001E60A6" w:rsidRDefault="001B4A16" w:rsidP="00B91D04">
      <w:pPr>
        <w:rPr>
          <w:rFonts w:ascii="Calibri" w:hAnsi="Calibri"/>
          <w:sz w:val="22"/>
          <w:szCs w:val="22"/>
        </w:rPr>
      </w:pPr>
      <w:r w:rsidRPr="001E60A6">
        <w:rPr>
          <w:rFonts w:ascii="Calibri" w:hAnsi="Calibri"/>
          <w:sz w:val="22"/>
          <w:szCs w:val="22"/>
        </w:rPr>
        <w:t>In 2020, t</w:t>
      </w:r>
      <w:r w:rsidR="00B91D04" w:rsidRPr="001E60A6">
        <w:rPr>
          <w:rFonts w:ascii="Calibri" w:hAnsi="Calibri"/>
          <w:sz w:val="22"/>
          <w:szCs w:val="22"/>
        </w:rPr>
        <w:t>he combination of low passenger demand and restricted vehicle capacity due to Covid-19 quickly made the majority of licensed bus services financially unviable after the arrival of the disease in March.</w:t>
      </w:r>
      <w:r w:rsidR="009E22C9" w:rsidRPr="001E60A6">
        <w:rPr>
          <w:rFonts w:ascii="Calibri" w:hAnsi="Calibri"/>
          <w:sz w:val="22"/>
          <w:szCs w:val="22"/>
        </w:rPr>
        <w:t xml:space="preserve"> </w:t>
      </w:r>
      <w:r w:rsidR="00B91D04" w:rsidRPr="001E60A6">
        <w:rPr>
          <w:rFonts w:ascii="Calibri" w:hAnsi="Calibri"/>
          <w:sz w:val="22"/>
          <w:szCs w:val="22"/>
        </w:rPr>
        <w:t xml:space="preserve"> That month, the NTA acted quickly to notify licensed operators that individual services or complete licences could be suspended in response to the collapse in passenger demand due to Covid-19. </w:t>
      </w:r>
      <w:r w:rsidR="009E22C9" w:rsidRPr="001E60A6">
        <w:rPr>
          <w:rFonts w:ascii="Calibri" w:hAnsi="Calibri"/>
          <w:sz w:val="22"/>
          <w:szCs w:val="22"/>
        </w:rPr>
        <w:t xml:space="preserve"> </w:t>
      </w:r>
      <w:r w:rsidR="00B91D04" w:rsidRPr="001E60A6">
        <w:rPr>
          <w:rFonts w:ascii="Calibri" w:hAnsi="Calibri"/>
          <w:sz w:val="22"/>
          <w:szCs w:val="22"/>
        </w:rPr>
        <w:t xml:space="preserve">This arrangement ensured that licensed operators were able to minimise financial losses. </w:t>
      </w:r>
      <w:r w:rsidR="009E22C9" w:rsidRPr="001E60A6">
        <w:rPr>
          <w:rFonts w:ascii="Calibri" w:hAnsi="Calibri"/>
          <w:sz w:val="22"/>
          <w:szCs w:val="22"/>
        </w:rPr>
        <w:t xml:space="preserve"> </w:t>
      </w:r>
      <w:r w:rsidR="00B91D04" w:rsidRPr="001E60A6">
        <w:rPr>
          <w:rFonts w:ascii="Calibri" w:hAnsi="Calibri"/>
          <w:sz w:val="22"/>
          <w:szCs w:val="22"/>
        </w:rPr>
        <w:t xml:space="preserve">Those that continued to operate were only able to offer significantly curtailed services. </w:t>
      </w:r>
    </w:p>
    <w:p w14:paraId="24641537" w14:textId="6C711809" w:rsidR="00B91D04" w:rsidRPr="001E60A6" w:rsidRDefault="00B91D04" w:rsidP="00B91D04">
      <w:pPr>
        <w:rPr>
          <w:rFonts w:ascii="Calibri" w:hAnsi="Calibri"/>
          <w:sz w:val="22"/>
          <w:szCs w:val="22"/>
        </w:rPr>
      </w:pPr>
      <w:r w:rsidRPr="001E60A6">
        <w:rPr>
          <w:rFonts w:ascii="Calibri" w:hAnsi="Calibri"/>
          <w:sz w:val="22"/>
          <w:szCs w:val="22"/>
        </w:rPr>
        <w:t>In June</w:t>
      </w:r>
      <w:r w:rsidR="001B4A16" w:rsidRPr="001E60A6">
        <w:rPr>
          <w:rFonts w:ascii="Calibri" w:hAnsi="Calibri"/>
          <w:sz w:val="22"/>
          <w:szCs w:val="22"/>
        </w:rPr>
        <w:t xml:space="preserve"> 2020</w:t>
      </w:r>
      <w:r w:rsidRPr="001E60A6">
        <w:rPr>
          <w:rFonts w:ascii="Calibri" w:hAnsi="Calibri"/>
          <w:sz w:val="22"/>
          <w:szCs w:val="22"/>
        </w:rPr>
        <w:t xml:space="preserve">, the NTA received approval from Government to administer a funding scheme to support the provision of essential bus services by licensed operators. </w:t>
      </w:r>
      <w:r w:rsidR="009E22C9" w:rsidRPr="001E60A6">
        <w:rPr>
          <w:rFonts w:ascii="Calibri" w:hAnsi="Calibri"/>
          <w:sz w:val="22"/>
          <w:szCs w:val="22"/>
        </w:rPr>
        <w:t xml:space="preserve"> </w:t>
      </w:r>
      <w:r w:rsidRPr="001E60A6">
        <w:rPr>
          <w:rFonts w:ascii="Calibri" w:hAnsi="Calibri"/>
          <w:sz w:val="22"/>
          <w:szCs w:val="22"/>
        </w:rPr>
        <w:t xml:space="preserve">Following extensive engagement with operators, valid applications were received from 64 operators. </w:t>
      </w:r>
      <w:r w:rsidR="009E22C9" w:rsidRPr="001E60A6">
        <w:rPr>
          <w:rFonts w:ascii="Calibri" w:hAnsi="Calibri"/>
          <w:sz w:val="22"/>
          <w:szCs w:val="22"/>
        </w:rPr>
        <w:t xml:space="preserve"> </w:t>
      </w:r>
      <w:r w:rsidRPr="001E60A6">
        <w:rPr>
          <w:rFonts w:ascii="Calibri" w:hAnsi="Calibri"/>
          <w:sz w:val="22"/>
          <w:szCs w:val="22"/>
        </w:rPr>
        <w:t>Following detailed analysis, the Authority concluded emergency direct award contracts with 16 operators while 48 operators received grant assistance in accordance with European Commission rules governing De Minimis grant aid.</w:t>
      </w:r>
    </w:p>
    <w:p w14:paraId="2644A465" w14:textId="77777777" w:rsidR="00763371" w:rsidRPr="00A95DFB" w:rsidRDefault="00763371" w:rsidP="00B2586F">
      <w:pPr>
        <w:spacing w:after="0"/>
        <w:rPr>
          <w:rFonts w:ascii="Calibri" w:hAnsi="Calibri"/>
          <w:b/>
          <w:sz w:val="22"/>
          <w:szCs w:val="22"/>
        </w:rPr>
      </w:pPr>
      <w:r w:rsidRPr="00A95DFB">
        <w:rPr>
          <w:rFonts w:ascii="Calibri" w:hAnsi="Calibri"/>
          <w:b/>
          <w:sz w:val="22"/>
          <w:szCs w:val="22"/>
        </w:rPr>
        <w:t>Passenger Rights</w:t>
      </w:r>
    </w:p>
    <w:p w14:paraId="32636FCA" w14:textId="77777777" w:rsidR="00763371" w:rsidRPr="00EA4D09" w:rsidRDefault="00763371" w:rsidP="00EA4D09">
      <w:pPr>
        <w:rPr>
          <w:rFonts w:ascii="Calibri" w:hAnsi="Calibri"/>
          <w:sz w:val="22"/>
          <w:szCs w:val="22"/>
        </w:rPr>
      </w:pPr>
      <w:r w:rsidRPr="00763371">
        <w:rPr>
          <w:rFonts w:ascii="Calibri" w:hAnsi="Calibri"/>
          <w:sz w:val="22"/>
          <w:szCs w:val="22"/>
        </w:rPr>
        <w:t xml:space="preserve">The </w:t>
      </w:r>
      <w:r w:rsidR="00B722BD">
        <w:rPr>
          <w:rFonts w:ascii="Calibri" w:hAnsi="Calibri"/>
          <w:sz w:val="22"/>
          <w:szCs w:val="22"/>
        </w:rPr>
        <w:t>NTA</w:t>
      </w:r>
      <w:r w:rsidR="00B722BD" w:rsidRPr="00763371">
        <w:rPr>
          <w:rFonts w:ascii="Calibri" w:hAnsi="Calibri"/>
          <w:sz w:val="22"/>
          <w:szCs w:val="22"/>
        </w:rPr>
        <w:t xml:space="preserve"> </w:t>
      </w:r>
      <w:r w:rsidRPr="00763371">
        <w:rPr>
          <w:rFonts w:ascii="Calibri" w:hAnsi="Calibri"/>
          <w:sz w:val="22"/>
          <w:szCs w:val="22"/>
        </w:rPr>
        <w:t>is the designated enforcement body in Ireland for EU Regulations concerning the rights of passengers when travelling by rail, sea and bus / coach. Those rights include non-discrimination and assistance for disabled persons and persons with reduced mobility, provision of information to all passengers before and during their journey, assistance to all passengers in the event of delays and, in certain circumstances, compensation for delays and cancellation of journeys.</w:t>
      </w:r>
    </w:p>
    <w:p w14:paraId="2BC45B98" w14:textId="77777777" w:rsidR="001675F8" w:rsidRDefault="00EA4D09" w:rsidP="00EA4D09">
      <w:pPr>
        <w:rPr>
          <w:rFonts w:ascii="Calibri" w:hAnsi="Calibri"/>
          <w:sz w:val="22"/>
          <w:szCs w:val="22"/>
        </w:rPr>
      </w:pPr>
      <w:r w:rsidRPr="00EA4D09">
        <w:rPr>
          <w:rFonts w:ascii="Calibri" w:hAnsi="Calibri"/>
          <w:sz w:val="22"/>
          <w:szCs w:val="22"/>
        </w:rPr>
        <w:t xml:space="preserve">The number of journeys </w:t>
      </w:r>
      <w:r w:rsidR="00DF05B5">
        <w:rPr>
          <w:rFonts w:ascii="Calibri" w:hAnsi="Calibri"/>
          <w:sz w:val="22"/>
          <w:szCs w:val="22"/>
        </w:rPr>
        <w:t xml:space="preserve">greater than </w:t>
      </w:r>
      <w:r w:rsidRPr="00EA4D09">
        <w:rPr>
          <w:rFonts w:ascii="Calibri" w:hAnsi="Calibri"/>
          <w:sz w:val="22"/>
          <w:szCs w:val="22"/>
        </w:rPr>
        <w:t xml:space="preserve">250km in the PSO </w:t>
      </w:r>
      <w:r w:rsidR="00FC33BA" w:rsidRPr="00EA4D09">
        <w:rPr>
          <w:rFonts w:ascii="Calibri" w:hAnsi="Calibri"/>
          <w:sz w:val="22"/>
          <w:szCs w:val="22"/>
        </w:rPr>
        <w:t>and licenced</w:t>
      </w:r>
      <w:r w:rsidRPr="00EA4D09">
        <w:rPr>
          <w:rFonts w:ascii="Calibri" w:hAnsi="Calibri"/>
          <w:sz w:val="22"/>
          <w:szCs w:val="22"/>
        </w:rPr>
        <w:t xml:space="preserve"> sector in the </w:t>
      </w:r>
      <w:r w:rsidR="00B53E61">
        <w:rPr>
          <w:rFonts w:ascii="Calibri" w:hAnsi="Calibri"/>
          <w:sz w:val="22"/>
          <w:szCs w:val="22"/>
        </w:rPr>
        <w:t>S</w:t>
      </w:r>
      <w:r w:rsidRPr="00EA4D09">
        <w:rPr>
          <w:rFonts w:ascii="Calibri" w:hAnsi="Calibri"/>
          <w:sz w:val="22"/>
          <w:szCs w:val="22"/>
        </w:rPr>
        <w:t>tate is less than 1</w:t>
      </w:r>
      <w:r w:rsidR="00B405BB">
        <w:rPr>
          <w:rFonts w:ascii="Calibri" w:hAnsi="Calibri"/>
          <w:sz w:val="22"/>
          <w:szCs w:val="22"/>
        </w:rPr>
        <w:t>%, thereby limiting the scope of the regulation in Ireland.</w:t>
      </w:r>
      <w:r w:rsidR="00FC33BA">
        <w:rPr>
          <w:rFonts w:ascii="Calibri" w:hAnsi="Calibri"/>
          <w:sz w:val="22"/>
          <w:szCs w:val="22"/>
        </w:rPr>
        <w:t xml:space="preserve"> </w:t>
      </w:r>
    </w:p>
    <w:p w14:paraId="26FAAD70" w14:textId="77777777" w:rsidR="000B3283" w:rsidRPr="000B3283" w:rsidRDefault="000B3283" w:rsidP="00B2586F">
      <w:pPr>
        <w:spacing w:after="0"/>
        <w:rPr>
          <w:rFonts w:ascii="Calibri" w:hAnsi="Calibri"/>
          <w:b/>
          <w:sz w:val="22"/>
          <w:szCs w:val="22"/>
        </w:rPr>
      </w:pPr>
      <w:r w:rsidRPr="000B3283">
        <w:rPr>
          <w:rFonts w:ascii="Calibri" w:hAnsi="Calibri"/>
          <w:b/>
          <w:sz w:val="22"/>
          <w:szCs w:val="22"/>
        </w:rPr>
        <w:t>Complaint Handling</w:t>
      </w:r>
    </w:p>
    <w:p w14:paraId="79DC65A5" w14:textId="77777777" w:rsidR="000B3283" w:rsidRPr="000B3283" w:rsidRDefault="000B3283" w:rsidP="000B3283">
      <w:pPr>
        <w:rPr>
          <w:rFonts w:ascii="Calibri" w:hAnsi="Calibri"/>
          <w:sz w:val="22"/>
          <w:szCs w:val="22"/>
        </w:rPr>
      </w:pPr>
      <w:r w:rsidRPr="000B3283">
        <w:rPr>
          <w:rFonts w:ascii="Calibri" w:hAnsi="Calibri"/>
          <w:sz w:val="22"/>
          <w:szCs w:val="22"/>
        </w:rPr>
        <w:t xml:space="preserve">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 xml:space="preserve">acts as an appeals body only and passengers are obliged to make their complaint to the relevant operator in </w:t>
      </w:r>
      <w:r w:rsidR="00E81FA6">
        <w:rPr>
          <w:rFonts w:ascii="Calibri" w:hAnsi="Calibri"/>
          <w:sz w:val="22"/>
          <w:szCs w:val="22"/>
        </w:rPr>
        <w:t>the first instance.</w:t>
      </w:r>
      <w:r w:rsidRPr="000B3283">
        <w:rPr>
          <w:rFonts w:ascii="Calibri" w:hAnsi="Calibri"/>
          <w:sz w:val="22"/>
          <w:szCs w:val="22"/>
        </w:rPr>
        <w:t xml:space="preserve"> If the </w:t>
      </w:r>
      <w:r w:rsidR="00E81FA6" w:rsidRPr="000B3283">
        <w:rPr>
          <w:rFonts w:ascii="Calibri" w:hAnsi="Calibri"/>
          <w:sz w:val="22"/>
          <w:szCs w:val="22"/>
        </w:rPr>
        <w:t>individual is</w:t>
      </w:r>
      <w:r w:rsidRPr="000B3283">
        <w:rPr>
          <w:rFonts w:ascii="Calibri" w:hAnsi="Calibri"/>
          <w:sz w:val="22"/>
          <w:szCs w:val="22"/>
        </w:rPr>
        <w:t xml:space="preserve"> not satisfied with the outcome of their </w:t>
      </w:r>
      <w:bookmarkStart w:id="2" w:name="_Hlk85480030"/>
      <w:r w:rsidR="00FC5B9A">
        <w:rPr>
          <w:rFonts w:ascii="Calibri" w:hAnsi="Calibri"/>
          <w:sz w:val="22"/>
          <w:szCs w:val="22"/>
        </w:rPr>
        <w:t>complaint</w:t>
      </w:r>
      <w:r w:rsidR="00FC5B9A" w:rsidRPr="000B3283">
        <w:rPr>
          <w:rFonts w:ascii="Calibri" w:hAnsi="Calibri"/>
          <w:sz w:val="22"/>
          <w:szCs w:val="22"/>
        </w:rPr>
        <w:t xml:space="preserve"> </w:t>
      </w:r>
      <w:bookmarkEnd w:id="2"/>
      <w:r w:rsidRPr="000B3283">
        <w:rPr>
          <w:rFonts w:ascii="Calibri" w:hAnsi="Calibri"/>
          <w:sz w:val="22"/>
          <w:szCs w:val="22"/>
        </w:rPr>
        <w:t xml:space="preserve">or if they do not receive a response they can bring their complaint to the attention of the </w:t>
      </w:r>
      <w:r w:rsidR="00B722BD">
        <w:rPr>
          <w:rFonts w:ascii="Calibri" w:hAnsi="Calibri"/>
          <w:sz w:val="22"/>
          <w:szCs w:val="22"/>
        </w:rPr>
        <w:t>NTA</w:t>
      </w:r>
      <w:r w:rsidRPr="000B3283">
        <w:rPr>
          <w:rFonts w:ascii="Calibri" w:hAnsi="Calibri"/>
          <w:sz w:val="22"/>
          <w:szCs w:val="22"/>
        </w:rPr>
        <w:t xml:space="preserve">.  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 xml:space="preserve">will decide if it is a valid complaint under the regulations and if so conduct a full investigation.  Passengers can submit their complaint in writing, by email or by filling out </w:t>
      </w:r>
      <w:r w:rsidR="00E81FA6" w:rsidRPr="000B3283">
        <w:rPr>
          <w:rFonts w:ascii="Calibri" w:hAnsi="Calibri"/>
          <w:sz w:val="22"/>
          <w:szCs w:val="22"/>
        </w:rPr>
        <w:t>the online</w:t>
      </w:r>
      <w:r w:rsidRPr="000B3283">
        <w:rPr>
          <w:rFonts w:ascii="Calibri" w:hAnsi="Calibri"/>
          <w:sz w:val="22"/>
          <w:szCs w:val="22"/>
        </w:rPr>
        <w:t xml:space="preserve"> complaint form on the </w:t>
      </w:r>
      <w:r w:rsidR="00B722BD">
        <w:rPr>
          <w:rFonts w:ascii="Calibri" w:hAnsi="Calibri"/>
          <w:sz w:val="22"/>
          <w:szCs w:val="22"/>
        </w:rPr>
        <w:t>NTA</w:t>
      </w:r>
      <w:r w:rsidR="00FA0DAC">
        <w:rPr>
          <w:rFonts w:ascii="Calibri" w:hAnsi="Calibri"/>
          <w:sz w:val="22"/>
          <w:szCs w:val="22"/>
        </w:rPr>
        <w:t>’s</w:t>
      </w:r>
      <w:r w:rsidR="00B722BD" w:rsidRPr="000B3283">
        <w:rPr>
          <w:rFonts w:ascii="Calibri" w:hAnsi="Calibri"/>
          <w:sz w:val="22"/>
          <w:szCs w:val="22"/>
        </w:rPr>
        <w:t xml:space="preserve"> </w:t>
      </w:r>
      <w:r w:rsidRPr="000B3283">
        <w:rPr>
          <w:rFonts w:ascii="Calibri" w:hAnsi="Calibri"/>
          <w:sz w:val="22"/>
          <w:szCs w:val="22"/>
        </w:rPr>
        <w:t xml:space="preserve">website.  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also facilitates complaints which are outside of its jurisdiction by passing them on to the relevant NEB’s in other countries.</w:t>
      </w:r>
    </w:p>
    <w:p w14:paraId="1734617B" w14:textId="77777777" w:rsidR="000B3283" w:rsidRPr="000B3283" w:rsidRDefault="000B3283" w:rsidP="000B3283">
      <w:pPr>
        <w:rPr>
          <w:rFonts w:ascii="Calibri" w:hAnsi="Calibri"/>
          <w:sz w:val="22"/>
          <w:szCs w:val="22"/>
        </w:rPr>
      </w:pPr>
      <w:r w:rsidRPr="000B3283">
        <w:rPr>
          <w:rFonts w:ascii="Calibri" w:hAnsi="Calibri"/>
          <w:sz w:val="22"/>
          <w:szCs w:val="22"/>
        </w:rPr>
        <w:t xml:space="preserve">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 xml:space="preserve">did not receive any complaints under the </w:t>
      </w:r>
      <w:r w:rsidR="00FA0DAC">
        <w:rPr>
          <w:rFonts w:ascii="Calibri" w:hAnsi="Calibri"/>
          <w:sz w:val="22"/>
          <w:szCs w:val="22"/>
        </w:rPr>
        <w:t>R</w:t>
      </w:r>
      <w:r w:rsidRPr="000B3283">
        <w:rPr>
          <w:rFonts w:ascii="Calibri" w:hAnsi="Calibri"/>
          <w:sz w:val="22"/>
          <w:szCs w:val="22"/>
        </w:rPr>
        <w:t>egu</w:t>
      </w:r>
      <w:r w:rsidR="00B405BB">
        <w:rPr>
          <w:rFonts w:ascii="Calibri" w:hAnsi="Calibri"/>
          <w:sz w:val="22"/>
          <w:szCs w:val="22"/>
        </w:rPr>
        <w:t>lation in the period 2019 – 2020</w:t>
      </w:r>
      <w:r w:rsidRPr="000B3283">
        <w:rPr>
          <w:rFonts w:ascii="Calibri" w:hAnsi="Calibri"/>
          <w:sz w:val="22"/>
          <w:szCs w:val="22"/>
        </w:rPr>
        <w:t>.</w:t>
      </w:r>
      <w:r w:rsidRPr="000B3283">
        <w:rPr>
          <w:rFonts w:ascii="Calibri" w:hAnsi="Calibri"/>
          <w:color w:val="FF0000"/>
          <w:sz w:val="22"/>
          <w:szCs w:val="22"/>
        </w:rPr>
        <w:t xml:space="preserve">   </w:t>
      </w:r>
      <w:r w:rsidRPr="000B3283">
        <w:rPr>
          <w:rFonts w:ascii="Calibri" w:hAnsi="Calibri"/>
          <w:sz w:val="22"/>
          <w:szCs w:val="22"/>
        </w:rPr>
        <w:t xml:space="preserve">    </w:t>
      </w:r>
    </w:p>
    <w:p w14:paraId="4F8C6CF2" w14:textId="03F1E6A9" w:rsidR="000B3283" w:rsidRDefault="000B3283" w:rsidP="000B3283">
      <w:pPr>
        <w:spacing w:after="100" w:afterAutospacing="1"/>
        <w:rPr>
          <w:rFonts w:ascii="Calibri" w:hAnsi="Calibri"/>
          <w:b/>
          <w:sz w:val="22"/>
          <w:szCs w:val="22"/>
        </w:rPr>
      </w:pPr>
      <w:r w:rsidRPr="000B3283">
        <w:rPr>
          <w:rFonts w:ascii="Calibri" w:hAnsi="Calibri"/>
          <w:b/>
          <w:sz w:val="22"/>
          <w:szCs w:val="22"/>
        </w:rPr>
        <w:t>Statistical Data:</w:t>
      </w:r>
    </w:p>
    <w:tbl>
      <w:tblPr>
        <w:tblW w:w="9133" w:type="dxa"/>
        <w:tblCellMar>
          <w:left w:w="0" w:type="dxa"/>
          <w:right w:w="0" w:type="dxa"/>
        </w:tblCellMar>
        <w:tblLook w:val="0420" w:firstRow="1" w:lastRow="0" w:firstColumn="0" w:lastColumn="0" w:noHBand="0" w:noVBand="1"/>
      </w:tblPr>
      <w:tblGrid>
        <w:gridCol w:w="3255"/>
        <w:gridCol w:w="2287"/>
        <w:gridCol w:w="3591"/>
      </w:tblGrid>
      <w:tr w:rsidR="00763371" w:rsidRPr="00F14397" w14:paraId="21724A11" w14:textId="77777777" w:rsidTr="00763371">
        <w:trPr>
          <w:trHeight w:val="108"/>
        </w:trPr>
        <w:tc>
          <w:tcPr>
            <w:tcW w:w="3255" w:type="dxa"/>
            <w:tcBorders>
              <w:top w:val="single" w:sz="8" w:space="0" w:color="E7DED0"/>
              <w:left w:val="single" w:sz="8" w:space="0" w:color="E7DED0"/>
              <w:bottom w:val="single" w:sz="8" w:space="0" w:color="E7DED0"/>
              <w:right w:val="single" w:sz="8" w:space="0" w:color="E7DED0"/>
            </w:tcBorders>
            <w:shd w:val="clear" w:color="auto" w:fill="F2F2F2" w:themeFill="background1" w:themeFillShade="F2"/>
            <w:tcMar>
              <w:top w:w="72" w:type="dxa"/>
              <w:left w:w="144" w:type="dxa"/>
              <w:bottom w:w="72" w:type="dxa"/>
              <w:right w:w="144" w:type="dxa"/>
            </w:tcMar>
            <w:vAlign w:val="center"/>
            <w:hideMark/>
          </w:tcPr>
          <w:p w14:paraId="593C61C5" w14:textId="77777777" w:rsidR="00763371" w:rsidRPr="00F14397" w:rsidRDefault="00763371" w:rsidP="00C64455">
            <w:pPr>
              <w:spacing w:after="0"/>
              <w:jc w:val="center"/>
              <w:rPr>
                <w:rFonts w:ascii="Arial" w:hAnsi="Arial" w:cs="Arial"/>
                <w:sz w:val="18"/>
                <w:szCs w:val="18"/>
                <w:lang w:val="en-IE" w:eastAsia="en-IE"/>
              </w:rPr>
            </w:pPr>
            <w:r w:rsidRPr="00AD410D">
              <w:rPr>
                <w:rFonts w:ascii="Arial" w:hAnsi="Arial" w:cs="Arial"/>
                <w:b/>
                <w:bCs/>
                <w:kern w:val="24"/>
                <w:sz w:val="18"/>
                <w:szCs w:val="18"/>
                <w:lang w:val="en-IE" w:eastAsia="en-IE"/>
              </w:rPr>
              <w:t>Year</w:t>
            </w:r>
          </w:p>
        </w:tc>
        <w:tc>
          <w:tcPr>
            <w:tcW w:w="2287" w:type="dxa"/>
            <w:tcBorders>
              <w:top w:val="single" w:sz="8" w:space="0" w:color="E7DED0"/>
              <w:left w:val="single" w:sz="8" w:space="0" w:color="E7DED0"/>
              <w:bottom w:val="single" w:sz="8" w:space="0" w:color="E7DED0"/>
              <w:right w:val="single" w:sz="8" w:space="0" w:color="E7DED0"/>
            </w:tcBorders>
            <w:shd w:val="clear" w:color="auto" w:fill="F2F2F2" w:themeFill="background1" w:themeFillShade="F2"/>
            <w:tcMar>
              <w:top w:w="15" w:type="dxa"/>
              <w:left w:w="15" w:type="dxa"/>
              <w:bottom w:w="0" w:type="dxa"/>
              <w:right w:w="15" w:type="dxa"/>
            </w:tcMar>
            <w:vAlign w:val="center"/>
            <w:hideMark/>
          </w:tcPr>
          <w:p w14:paraId="7C7FA4F2" w14:textId="77777777" w:rsidR="00763371" w:rsidRPr="00F14397" w:rsidRDefault="00763371" w:rsidP="00C64455">
            <w:pPr>
              <w:spacing w:after="0"/>
              <w:jc w:val="center"/>
              <w:textAlignment w:val="bottom"/>
              <w:rPr>
                <w:rFonts w:ascii="Arial" w:hAnsi="Arial" w:cs="Arial"/>
                <w:sz w:val="18"/>
                <w:szCs w:val="18"/>
                <w:lang w:val="en-IE" w:eastAsia="en-IE"/>
              </w:rPr>
            </w:pPr>
            <w:r w:rsidRPr="00AD410D">
              <w:rPr>
                <w:rFonts w:ascii="Arial" w:hAnsi="Arial" w:cs="Arial"/>
                <w:b/>
                <w:bCs/>
                <w:kern w:val="24"/>
                <w:sz w:val="18"/>
                <w:szCs w:val="18"/>
                <w:lang w:val="en-IE" w:eastAsia="en-IE"/>
              </w:rPr>
              <w:t>Number of complaints</w:t>
            </w:r>
          </w:p>
        </w:tc>
        <w:tc>
          <w:tcPr>
            <w:tcW w:w="3591" w:type="dxa"/>
            <w:tcBorders>
              <w:top w:val="single" w:sz="8" w:space="0" w:color="E7DED0"/>
              <w:left w:val="single" w:sz="8" w:space="0" w:color="E7DED0"/>
              <w:bottom w:val="single" w:sz="8" w:space="0" w:color="E7DED0"/>
              <w:right w:val="single" w:sz="8" w:space="0" w:color="E7DED0"/>
            </w:tcBorders>
            <w:shd w:val="clear" w:color="auto" w:fill="F2F2F2" w:themeFill="background1" w:themeFillShade="F2"/>
            <w:tcMar>
              <w:top w:w="15" w:type="dxa"/>
              <w:left w:w="15" w:type="dxa"/>
              <w:bottom w:w="0" w:type="dxa"/>
              <w:right w:w="15" w:type="dxa"/>
            </w:tcMar>
            <w:vAlign w:val="center"/>
            <w:hideMark/>
          </w:tcPr>
          <w:p w14:paraId="47E7C4B6" w14:textId="77777777" w:rsidR="00763371" w:rsidRPr="00F14397" w:rsidRDefault="00763371" w:rsidP="00C64455">
            <w:pPr>
              <w:spacing w:after="0"/>
              <w:jc w:val="center"/>
              <w:textAlignment w:val="bottom"/>
              <w:rPr>
                <w:rFonts w:ascii="Arial" w:hAnsi="Arial" w:cs="Arial"/>
                <w:sz w:val="18"/>
                <w:szCs w:val="18"/>
                <w:lang w:val="en-IE" w:eastAsia="en-IE"/>
              </w:rPr>
            </w:pPr>
            <w:r w:rsidRPr="00AD410D">
              <w:rPr>
                <w:rFonts w:ascii="Arial" w:hAnsi="Arial" w:cs="Arial"/>
                <w:b/>
                <w:bCs/>
                <w:kern w:val="24"/>
                <w:sz w:val="18"/>
                <w:szCs w:val="18"/>
                <w:lang w:val="en-IE" w:eastAsia="en-IE"/>
              </w:rPr>
              <w:t>Reason for complaint (e.g. cancellation, delay, discrimination, lack of assistance)</w:t>
            </w:r>
          </w:p>
        </w:tc>
      </w:tr>
      <w:tr w:rsidR="00763371" w:rsidRPr="00F14397" w14:paraId="74A36002" w14:textId="77777777" w:rsidTr="00763371">
        <w:trPr>
          <w:trHeight w:val="103"/>
        </w:trPr>
        <w:tc>
          <w:tcPr>
            <w:tcW w:w="3255" w:type="dxa"/>
            <w:tcBorders>
              <w:top w:val="single" w:sz="8" w:space="0" w:color="E7DED0"/>
              <w:left w:val="single" w:sz="8" w:space="0" w:color="E7DED0"/>
              <w:bottom w:val="single" w:sz="8" w:space="0" w:color="E7DED0"/>
              <w:right w:val="single" w:sz="8" w:space="0" w:color="E7DED0"/>
            </w:tcBorders>
            <w:shd w:val="clear" w:color="auto" w:fill="FFFFFF" w:themeFill="background1"/>
            <w:tcMar>
              <w:top w:w="72" w:type="dxa"/>
              <w:left w:w="144" w:type="dxa"/>
              <w:bottom w:w="72" w:type="dxa"/>
              <w:right w:w="144" w:type="dxa"/>
            </w:tcMar>
            <w:vAlign w:val="center"/>
            <w:hideMark/>
          </w:tcPr>
          <w:p w14:paraId="389040BF" w14:textId="372B13B6" w:rsidR="00763371" w:rsidRPr="00F14397" w:rsidRDefault="007132CD" w:rsidP="00C64455">
            <w:pPr>
              <w:spacing w:after="0"/>
              <w:jc w:val="center"/>
              <w:rPr>
                <w:rFonts w:ascii="Arial" w:hAnsi="Arial" w:cs="Arial"/>
                <w:sz w:val="18"/>
                <w:szCs w:val="18"/>
                <w:lang w:val="en-IE" w:eastAsia="en-IE"/>
              </w:rPr>
            </w:pPr>
            <w:r>
              <w:rPr>
                <w:rFonts w:ascii="Arial" w:hAnsi="Arial" w:cs="Arial"/>
                <w:kern w:val="24"/>
                <w:sz w:val="18"/>
                <w:szCs w:val="18"/>
                <w:lang w:val="en-IE" w:eastAsia="en-IE"/>
              </w:rPr>
              <w:t>From 1 January 2019</w:t>
            </w:r>
            <w:r w:rsidR="00763371">
              <w:rPr>
                <w:rFonts w:ascii="Arial" w:hAnsi="Arial" w:cs="Arial"/>
                <w:kern w:val="24"/>
                <w:sz w:val="18"/>
                <w:szCs w:val="18"/>
                <w:lang w:val="en-IE" w:eastAsia="en-IE"/>
              </w:rPr>
              <w:t xml:space="preserve"> – December 31</w:t>
            </w:r>
            <w:r w:rsidR="00763371" w:rsidRPr="00AD410D">
              <w:rPr>
                <w:rFonts w:ascii="Arial" w:hAnsi="Arial" w:cs="Arial"/>
                <w:kern w:val="24"/>
                <w:sz w:val="18"/>
                <w:szCs w:val="18"/>
                <w:vertAlign w:val="superscript"/>
                <w:lang w:val="en-IE" w:eastAsia="en-IE"/>
              </w:rPr>
              <w:t>st</w:t>
            </w:r>
            <w:r w:rsidR="00425198">
              <w:rPr>
                <w:rFonts w:ascii="Arial" w:hAnsi="Arial" w:cs="Arial"/>
                <w:kern w:val="24"/>
                <w:sz w:val="18"/>
                <w:szCs w:val="18"/>
                <w:lang w:val="en-IE" w:eastAsia="en-IE"/>
              </w:rPr>
              <w:t xml:space="preserve"> 2019</w:t>
            </w:r>
          </w:p>
        </w:tc>
        <w:tc>
          <w:tcPr>
            <w:tcW w:w="2287" w:type="dxa"/>
            <w:tcBorders>
              <w:top w:val="single" w:sz="8" w:space="0" w:color="E7DED0"/>
              <w:left w:val="single" w:sz="8" w:space="0" w:color="E7DED0"/>
              <w:bottom w:val="single" w:sz="8" w:space="0" w:color="E7DED0"/>
              <w:right w:val="single" w:sz="8" w:space="0" w:color="E7DED0"/>
            </w:tcBorders>
            <w:shd w:val="clear" w:color="auto" w:fill="FFFFFF" w:themeFill="background1"/>
            <w:tcMar>
              <w:top w:w="15" w:type="dxa"/>
              <w:left w:w="15" w:type="dxa"/>
              <w:bottom w:w="0" w:type="dxa"/>
              <w:right w:w="15" w:type="dxa"/>
            </w:tcMar>
            <w:hideMark/>
          </w:tcPr>
          <w:p w14:paraId="1110BFAC" w14:textId="77777777" w:rsidR="00763371" w:rsidRPr="00AD410D" w:rsidRDefault="007132CD" w:rsidP="00C64455">
            <w:pPr>
              <w:jc w:val="center"/>
              <w:rPr>
                <w:sz w:val="18"/>
                <w:szCs w:val="18"/>
              </w:rPr>
            </w:pPr>
            <w:r>
              <w:rPr>
                <w:rFonts w:ascii="Arial" w:hAnsi="Arial" w:cs="Arial"/>
                <w:bCs/>
                <w:kern w:val="24"/>
                <w:sz w:val="18"/>
                <w:szCs w:val="18"/>
                <w:lang w:val="en-IE" w:eastAsia="en-IE"/>
              </w:rPr>
              <w:t>0</w:t>
            </w:r>
          </w:p>
        </w:tc>
        <w:tc>
          <w:tcPr>
            <w:tcW w:w="3591" w:type="dxa"/>
            <w:tcBorders>
              <w:top w:val="single" w:sz="8" w:space="0" w:color="E7DED0"/>
              <w:left w:val="single" w:sz="8" w:space="0" w:color="E7DED0"/>
              <w:bottom w:val="single" w:sz="8" w:space="0" w:color="E7DED0"/>
              <w:right w:val="single" w:sz="8" w:space="0" w:color="E7DED0"/>
            </w:tcBorders>
            <w:shd w:val="clear" w:color="auto" w:fill="FFFFFF" w:themeFill="background1"/>
            <w:tcMar>
              <w:top w:w="15" w:type="dxa"/>
              <w:left w:w="15" w:type="dxa"/>
              <w:bottom w:w="0" w:type="dxa"/>
              <w:right w:w="15" w:type="dxa"/>
            </w:tcMar>
            <w:hideMark/>
          </w:tcPr>
          <w:p w14:paraId="4A95EC9F" w14:textId="77777777" w:rsidR="00763371" w:rsidRPr="00AD410D" w:rsidRDefault="00763371" w:rsidP="00C64455">
            <w:pPr>
              <w:jc w:val="center"/>
              <w:rPr>
                <w:sz w:val="18"/>
                <w:szCs w:val="18"/>
              </w:rPr>
            </w:pPr>
            <w:r>
              <w:rPr>
                <w:rFonts w:ascii="Arial" w:hAnsi="Arial" w:cs="Arial"/>
                <w:bCs/>
                <w:kern w:val="24"/>
                <w:sz w:val="18"/>
                <w:szCs w:val="18"/>
                <w:lang w:val="en-IE" w:eastAsia="en-IE"/>
              </w:rPr>
              <w:t>-</w:t>
            </w:r>
          </w:p>
        </w:tc>
      </w:tr>
      <w:tr w:rsidR="00763371" w:rsidRPr="00F14397" w14:paraId="159B9FFA" w14:textId="77777777" w:rsidTr="00763371">
        <w:trPr>
          <w:trHeight w:val="103"/>
        </w:trPr>
        <w:tc>
          <w:tcPr>
            <w:tcW w:w="3255" w:type="dxa"/>
            <w:tcBorders>
              <w:top w:val="single" w:sz="8" w:space="0" w:color="E7DED0"/>
              <w:left w:val="single" w:sz="8" w:space="0" w:color="E7DED0"/>
              <w:bottom w:val="single" w:sz="8" w:space="0" w:color="E7DED0"/>
              <w:right w:val="single" w:sz="8" w:space="0" w:color="E7DED0"/>
            </w:tcBorders>
            <w:shd w:val="clear" w:color="auto" w:fill="auto"/>
            <w:tcMar>
              <w:top w:w="72" w:type="dxa"/>
              <w:left w:w="144" w:type="dxa"/>
              <w:bottom w:w="72" w:type="dxa"/>
              <w:right w:w="144" w:type="dxa"/>
            </w:tcMar>
            <w:vAlign w:val="center"/>
            <w:hideMark/>
          </w:tcPr>
          <w:p w14:paraId="3AA71B2C" w14:textId="77777777" w:rsidR="00763371" w:rsidRPr="00F14397" w:rsidRDefault="007132CD" w:rsidP="00C64455">
            <w:pPr>
              <w:spacing w:after="0"/>
              <w:jc w:val="center"/>
              <w:rPr>
                <w:rFonts w:ascii="Arial" w:hAnsi="Arial" w:cs="Arial"/>
                <w:sz w:val="18"/>
                <w:szCs w:val="18"/>
                <w:lang w:val="en-IE" w:eastAsia="en-IE"/>
              </w:rPr>
            </w:pPr>
            <w:r>
              <w:rPr>
                <w:rFonts w:ascii="Arial" w:hAnsi="Arial" w:cs="Arial"/>
                <w:kern w:val="24"/>
                <w:sz w:val="18"/>
                <w:szCs w:val="18"/>
                <w:lang w:val="en-IE" w:eastAsia="en-IE"/>
              </w:rPr>
              <w:t>From 1 January 2020 – December 31st 2020</w:t>
            </w:r>
          </w:p>
        </w:tc>
        <w:tc>
          <w:tcPr>
            <w:tcW w:w="2287" w:type="dxa"/>
            <w:tcBorders>
              <w:top w:val="single" w:sz="8" w:space="0" w:color="E7DED0"/>
              <w:left w:val="single" w:sz="8" w:space="0" w:color="E7DED0"/>
              <w:bottom w:val="single" w:sz="8" w:space="0" w:color="E7DED0"/>
              <w:right w:val="single" w:sz="8" w:space="0" w:color="E7DED0"/>
            </w:tcBorders>
            <w:shd w:val="clear" w:color="auto" w:fill="auto"/>
            <w:tcMar>
              <w:top w:w="15" w:type="dxa"/>
              <w:left w:w="15" w:type="dxa"/>
              <w:bottom w:w="0" w:type="dxa"/>
              <w:right w:w="15" w:type="dxa"/>
            </w:tcMar>
            <w:hideMark/>
          </w:tcPr>
          <w:p w14:paraId="37CA36EF" w14:textId="77777777" w:rsidR="00763371" w:rsidRPr="00AD410D" w:rsidRDefault="00763371" w:rsidP="00C64455">
            <w:pPr>
              <w:jc w:val="center"/>
              <w:rPr>
                <w:sz w:val="18"/>
                <w:szCs w:val="18"/>
              </w:rPr>
            </w:pPr>
            <w:r>
              <w:rPr>
                <w:rFonts w:ascii="Arial" w:hAnsi="Arial" w:cs="Arial"/>
                <w:bCs/>
                <w:kern w:val="24"/>
                <w:sz w:val="18"/>
                <w:szCs w:val="18"/>
                <w:lang w:val="en-IE" w:eastAsia="en-IE"/>
              </w:rPr>
              <w:t>0</w:t>
            </w:r>
          </w:p>
        </w:tc>
        <w:tc>
          <w:tcPr>
            <w:tcW w:w="3591" w:type="dxa"/>
            <w:tcBorders>
              <w:top w:val="single" w:sz="8" w:space="0" w:color="E7DED0"/>
              <w:left w:val="single" w:sz="8" w:space="0" w:color="E7DED0"/>
              <w:bottom w:val="single" w:sz="8" w:space="0" w:color="E7DED0"/>
              <w:right w:val="single" w:sz="8" w:space="0" w:color="E7DED0"/>
            </w:tcBorders>
            <w:shd w:val="clear" w:color="auto" w:fill="auto"/>
            <w:tcMar>
              <w:top w:w="15" w:type="dxa"/>
              <w:left w:w="15" w:type="dxa"/>
              <w:bottom w:w="0" w:type="dxa"/>
              <w:right w:w="15" w:type="dxa"/>
            </w:tcMar>
            <w:hideMark/>
          </w:tcPr>
          <w:p w14:paraId="63AA4165" w14:textId="77777777" w:rsidR="00763371" w:rsidRPr="00AD410D" w:rsidRDefault="00763371" w:rsidP="00C64455">
            <w:pPr>
              <w:jc w:val="center"/>
              <w:rPr>
                <w:sz w:val="18"/>
                <w:szCs w:val="18"/>
              </w:rPr>
            </w:pPr>
            <w:r>
              <w:rPr>
                <w:rFonts w:ascii="Arial" w:hAnsi="Arial" w:cs="Arial"/>
                <w:bCs/>
                <w:kern w:val="24"/>
                <w:sz w:val="18"/>
                <w:szCs w:val="18"/>
                <w:lang w:val="en-IE" w:eastAsia="en-IE"/>
              </w:rPr>
              <w:t>-</w:t>
            </w:r>
          </w:p>
        </w:tc>
      </w:tr>
    </w:tbl>
    <w:p w14:paraId="0E54FCF6" w14:textId="77777777" w:rsidR="007132CD" w:rsidRDefault="007132CD" w:rsidP="00E81FA6">
      <w:pPr>
        <w:rPr>
          <w:rFonts w:ascii="Calibri" w:hAnsi="Calibri"/>
          <w:sz w:val="22"/>
          <w:szCs w:val="22"/>
        </w:rPr>
      </w:pPr>
    </w:p>
    <w:p w14:paraId="6D791340" w14:textId="77777777" w:rsidR="000B3283" w:rsidRPr="000B3283" w:rsidRDefault="000B3283" w:rsidP="00B2586F">
      <w:pPr>
        <w:spacing w:after="0"/>
        <w:rPr>
          <w:rFonts w:ascii="Calibri" w:hAnsi="Calibri"/>
          <w:b/>
          <w:sz w:val="22"/>
          <w:szCs w:val="22"/>
        </w:rPr>
      </w:pPr>
      <w:r w:rsidRPr="000B3283">
        <w:rPr>
          <w:rFonts w:ascii="Calibri" w:hAnsi="Calibri"/>
          <w:b/>
          <w:sz w:val="22"/>
          <w:szCs w:val="22"/>
        </w:rPr>
        <w:t>Guidance and Enforcement</w:t>
      </w:r>
    </w:p>
    <w:p w14:paraId="58E46CB1" w14:textId="77777777" w:rsidR="000B3283" w:rsidRPr="000B3283" w:rsidRDefault="000B3283" w:rsidP="000B3283">
      <w:pPr>
        <w:rPr>
          <w:rFonts w:ascii="Calibri" w:hAnsi="Calibri"/>
          <w:sz w:val="22"/>
          <w:szCs w:val="22"/>
        </w:rPr>
      </w:pPr>
      <w:r w:rsidRPr="000B3283">
        <w:rPr>
          <w:rFonts w:ascii="Calibri" w:hAnsi="Calibri"/>
          <w:sz w:val="22"/>
          <w:szCs w:val="22"/>
        </w:rPr>
        <w:t xml:space="preserve">Passenger rights form an integral part of the PSO contracts between operators and the NTA.  </w:t>
      </w:r>
      <w:r w:rsidR="00E81FA6" w:rsidRPr="000B3283">
        <w:rPr>
          <w:rFonts w:ascii="Calibri" w:hAnsi="Calibri"/>
          <w:sz w:val="22"/>
          <w:szCs w:val="22"/>
        </w:rPr>
        <w:t>Monitoring of</w:t>
      </w:r>
      <w:r w:rsidRPr="000B3283">
        <w:rPr>
          <w:rFonts w:ascii="Calibri" w:hAnsi="Calibri"/>
          <w:sz w:val="22"/>
          <w:szCs w:val="22"/>
        </w:rPr>
        <w:t xml:space="preserve"> the contractual obligations is carried out on a quarterly basis, with operators reporting directly to the </w:t>
      </w:r>
      <w:r w:rsidR="00B722BD">
        <w:rPr>
          <w:rFonts w:ascii="Calibri" w:hAnsi="Calibri"/>
          <w:sz w:val="22"/>
          <w:szCs w:val="22"/>
        </w:rPr>
        <w:t>NTA</w:t>
      </w:r>
      <w:r w:rsidRPr="000B3283">
        <w:rPr>
          <w:rFonts w:ascii="Calibri" w:hAnsi="Calibri"/>
          <w:sz w:val="22"/>
          <w:szCs w:val="22"/>
        </w:rPr>
        <w:t>.</w:t>
      </w:r>
    </w:p>
    <w:p w14:paraId="4E2AB89D" w14:textId="77777777" w:rsidR="000B3283" w:rsidRPr="000B3283" w:rsidRDefault="000B3283" w:rsidP="000B3283">
      <w:pPr>
        <w:rPr>
          <w:rFonts w:ascii="Calibri" w:hAnsi="Calibri"/>
          <w:sz w:val="22"/>
          <w:szCs w:val="22"/>
        </w:rPr>
      </w:pPr>
      <w:r w:rsidRPr="000B3283">
        <w:rPr>
          <w:rFonts w:ascii="Calibri" w:hAnsi="Calibri"/>
          <w:sz w:val="22"/>
          <w:szCs w:val="22"/>
        </w:rPr>
        <w:t xml:space="preserve">Monitoring of licenced services is carried out by the </w:t>
      </w:r>
      <w:r w:rsidR="00850233">
        <w:rPr>
          <w:rFonts w:ascii="Calibri" w:hAnsi="Calibri"/>
          <w:sz w:val="22"/>
          <w:szCs w:val="22"/>
        </w:rPr>
        <w:t xml:space="preserve">Regulation Division </w:t>
      </w:r>
      <w:r w:rsidRPr="000B3283">
        <w:rPr>
          <w:rFonts w:ascii="Calibri" w:hAnsi="Calibri"/>
          <w:sz w:val="22"/>
          <w:szCs w:val="22"/>
        </w:rPr>
        <w:t xml:space="preserve">Compliance team.  This </w:t>
      </w:r>
      <w:r w:rsidR="00E81FA6" w:rsidRPr="000B3283">
        <w:rPr>
          <w:rFonts w:ascii="Calibri" w:hAnsi="Calibri"/>
          <w:sz w:val="22"/>
          <w:szCs w:val="22"/>
        </w:rPr>
        <w:t>team under</w:t>
      </w:r>
      <w:r w:rsidRPr="000B3283">
        <w:rPr>
          <w:rFonts w:ascii="Calibri" w:hAnsi="Calibri"/>
          <w:sz w:val="22"/>
          <w:szCs w:val="22"/>
        </w:rPr>
        <w:t xml:space="preserve">takes on-going monitoring, both overt and covert, of licensed services throughout the State.   </w:t>
      </w:r>
    </w:p>
    <w:p w14:paraId="57F9319B" w14:textId="77777777" w:rsidR="000B3283" w:rsidRPr="000B3283" w:rsidRDefault="000B3283" w:rsidP="000B3283">
      <w:pPr>
        <w:rPr>
          <w:rFonts w:ascii="Calibri" w:hAnsi="Calibri"/>
          <w:sz w:val="22"/>
          <w:szCs w:val="22"/>
        </w:rPr>
      </w:pPr>
      <w:r w:rsidRPr="000B3283">
        <w:rPr>
          <w:rFonts w:ascii="Calibri" w:hAnsi="Calibri"/>
          <w:sz w:val="22"/>
          <w:szCs w:val="22"/>
        </w:rPr>
        <w:t xml:space="preserve">Our website provides a comprehensive summary of the regulations and where to go for additional information. It also contains a link to our online complaint form for passengers who wish to submit a complaint to us.  </w:t>
      </w:r>
    </w:p>
    <w:p w14:paraId="0DF0E798" w14:textId="77777777" w:rsidR="00343A0B" w:rsidRPr="00383E7C" w:rsidRDefault="00343A0B" w:rsidP="00B2586F">
      <w:pPr>
        <w:spacing w:after="0"/>
        <w:rPr>
          <w:rFonts w:ascii="Calibri" w:hAnsi="Calibri"/>
          <w:sz w:val="22"/>
          <w:szCs w:val="22"/>
        </w:rPr>
      </w:pPr>
      <w:r>
        <w:rPr>
          <w:rFonts w:ascii="Calibri" w:hAnsi="Calibri"/>
          <w:b/>
          <w:sz w:val="22"/>
          <w:szCs w:val="22"/>
        </w:rPr>
        <w:t>Accessibility</w:t>
      </w:r>
    </w:p>
    <w:p w14:paraId="6DF1755A" w14:textId="1DAE1645" w:rsidR="00383E7C" w:rsidRDefault="000B3283" w:rsidP="00383E7C">
      <w:pPr>
        <w:rPr>
          <w:rFonts w:ascii="Calibri" w:hAnsi="Calibri"/>
          <w:sz w:val="22"/>
          <w:szCs w:val="22"/>
        </w:rPr>
      </w:pPr>
      <w:r w:rsidRPr="000B3283">
        <w:rPr>
          <w:rFonts w:ascii="Calibri" w:hAnsi="Calibri"/>
          <w:sz w:val="22"/>
          <w:szCs w:val="22"/>
        </w:rPr>
        <w:t xml:space="preserve">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 xml:space="preserve">works closely with the Department of Transport’s Accessibility Consultative Committee on issues relating to accessible transport.  The main stakeholders representing passengers with reduced mobility and other transport interest groups are represented on the committee.  In addition the </w:t>
      </w:r>
      <w:r w:rsidR="00B722BD">
        <w:rPr>
          <w:rFonts w:ascii="Calibri" w:hAnsi="Calibri"/>
          <w:sz w:val="22"/>
          <w:szCs w:val="22"/>
        </w:rPr>
        <w:t>NTA</w:t>
      </w:r>
      <w:r w:rsidR="00B722BD" w:rsidRPr="000B3283">
        <w:rPr>
          <w:rFonts w:ascii="Calibri" w:hAnsi="Calibri"/>
          <w:sz w:val="22"/>
          <w:szCs w:val="22"/>
        </w:rPr>
        <w:t xml:space="preserve"> </w:t>
      </w:r>
      <w:r w:rsidRPr="000B3283">
        <w:rPr>
          <w:rFonts w:ascii="Calibri" w:hAnsi="Calibri"/>
          <w:sz w:val="22"/>
          <w:szCs w:val="22"/>
        </w:rPr>
        <w:t>liaise</w:t>
      </w:r>
      <w:r w:rsidR="00343A0B">
        <w:rPr>
          <w:rFonts w:ascii="Calibri" w:hAnsi="Calibri"/>
          <w:sz w:val="22"/>
          <w:szCs w:val="22"/>
        </w:rPr>
        <w:t>s</w:t>
      </w:r>
      <w:r w:rsidRPr="000B3283">
        <w:rPr>
          <w:rFonts w:ascii="Calibri" w:hAnsi="Calibri"/>
          <w:sz w:val="22"/>
          <w:szCs w:val="22"/>
        </w:rPr>
        <w:t xml:space="preserve"> with the accessibility officer</w:t>
      </w:r>
      <w:r w:rsidR="00484EF5">
        <w:rPr>
          <w:rFonts w:ascii="Calibri" w:hAnsi="Calibri"/>
          <w:sz w:val="22"/>
          <w:szCs w:val="22"/>
        </w:rPr>
        <w:t xml:space="preserve">s in each of the main </w:t>
      </w:r>
      <w:r w:rsidR="000F126E">
        <w:rPr>
          <w:rFonts w:ascii="Calibri" w:hAnsi="Calibri"/>
          <w:sz w:val="22"/>
          <w:szCs w:val="22"/>
        </w:rPr>
        <w:t xml:space="preserve">transport </w:t>
      </w:r>
      <w:r w:rsidR="00484EF5">
        <w:rPr>
          <w:rFonts w:ascii="Calibri" w:hAnsi="Calibri"/>
          <w:sz w:val="22"/>
          <w:szCs w:val="22"/>
        </w:rPr>
        <w:t>operators.</w:t>
      </w:r>
    </w:p>
    <w:p w14:paraId="632FF44E" w14:textId="2A869647" w:rsidR="007132CD" w:rsidRDefault="008372ED" w:rsidP="006A4A4D">
      <w:pPr>
        <w:spacing w:after="100" w:afterAutospacing="1"/>
        <w:rPr>
          <w:rFonts w:ascii="Calibri" w:hAnsi="Calibri"/>
          <w:sz w:val="22"/>
          <w:szCs w:val="22"/>
        </w:rPr>
      </w:pPr>
      <w:r>
        <w:rPr>
          <w:rFonts w:ascii="Calibri" w:hAnsi="Calibri"/>
          <w:sz w:val="22"/>
          <w:szCs w:val="22"/>
        </w:rPr>
        <w:t xml:space="preserve">The NTA is actively committed to ensuring that new public transport services and infrastructure are fully accessible. </w:t>
      </w:r>
      <w:r w:rsidR="006F5562">
        <w:rPr>
          <w:rFonts w:ascii="Calibri" w:hAnsi="Calibri"/>
          <w:sz w:val="22"/>
          <w:szCs w:val="22"/>
        </w:rPr>
        <w:t xml:space="preserve"> A total of €28 million </w:t>
      </w:r>
      <w:r w:rsidR="001A41B4">
        <w:rPr>
          <w:rFonts w:ascii="Calibri" w:hAnsi="Calibri"/>
          <w:sz w:val="22"/>
          <w:szCs w:val="22"/>
        </w:rPr>
        <w:t>has been made available</w:t>
      </w:r>
      <w:r w:rsidR="006F5562">
        <w:rPr>
          <w:rFonts w:ascii="Calibri" w:hAnsi="Calibri"/>
          <w:sz w:val="22"/>
          <w:szCs w:val="22"/>
        </w:rPr>
        <w:t xml:space="preserve"> </w:t>
      </w:r>
      <w:r w:rsidR="001A41B4">
        <w:rPr>
          <w:rFonts w:ascii="Calibri" w:hAnsi="Calibri"/>
          <w:sz w:val="22"/>
          <w:szCs w:val="22"/>
        </w:rPr>
        <w:t>for accessibility retrofit projects 2018 – 2021.  The allocations for 2019 and 2020 are detailed in the table below</w:t>
      </w:r>
    </w:p>
    <w:p w14:paraId="5F660F8D" w14:textId="23176AF2" w:rsidR="001A41B4" w:rsidRPr="00DA7024" w:rsidRDefault="001A41B4" w:rsidP="006A4A4D">
      <w:pPr>
        <w:spacing w:after="100" w:afterAutospacing="1"/>
        <w:rPr>
          <w:rFonts w:ascii="Calibri" w:hAnsi="Calibri"/>
          <w:b/>
          <w:sz w:val="22"/>
          <w:szCs w:val="22"/>
        </w:rPr>
      </w:pPr>
      <w:r w:rsidRPr="00DA7024">
        <w:rPr>
          <w:rFonts w:ascii="Calibri" w:hAnsi="Calibri"/>
          <w:b/>
          <w:sz w:val="22"/>
          <w:szCs w:val="22"/>
        </w:rPr>
        <w:t>Accessibility Funding 2019 - 2020</w:t>
      </w:r>
    </w:p>
    <w:tbl>
      <w:tblPr>
        <w:tblStyle w:val="TableGrid"/>
        <w:tblW w:w="0" w:type="auto"/>
        <w:tblLook w:val="04A0" w:firstRow="1" w:lastRow="0" w:firstColumn="1" w:lastColumn="0" w:noHBand="0" w:noVBand="1"/>
      </w:tblPr>
      <w:tblGrid>
        <w:gridCol w:w="4508"/>
        <w:gridCol w:w="4508"/>
      </w:tblGrid>
      <w:tr w:rsidR="001A41B4" w14:paraId="7B4780FB" w14:textId="77777777" w:rsidTr="001A41B4">
        <w:tc>
          <w:tcPr>
            <w:tcW w:w="4508" w:type="dxa"/>
          </w:tcPr>
          <w:p w14:paraId="436F4903" w14:textId="45D07C03" w:rsidR="001A41B4" w:rsidRDefault="001A41B4" w:rsidP="001A41B4">
            <w:pPr>
              <w:tabs>
                <w:tab w:val="left" w:pos="1404"/>
              </w:tabs>
              <w:spacing w:after="100" w:afterAutospacing="1"/>
              <w:rPr>
                <w:rFonts w:ascii="Calibri" w:hAnsi="Calibri"/>
                <w:sz w:val="22"/>
                <w:szCs w:val="22"/>
              </w:rPr>
            </w:pPr>
            <w:r>
              <w:rPr>
                <w:rFonts w:ascii="Calibri" w:hAnsi="Calibri"/>
                <w:sz w:val="22"/>
                <w:szCs w:val="22"/>
              </w:rPr>
              <w:tab/>
              <w:t>2019</w:t>
            </w:r>
          </w:p>
        </w:tc>
        <w:tc>
          <w:tcPr>
            <w:tcW w:w="4508" w:type="dxa"/>
          </w:tcPr>
          <w:p w14:paraId="1F50D6A7" w14:textId="08C907C1" w:rsidR="001A41B4" w:rsidRDefault="001A41B4" w:rsidP="006A4A4D">
            <w:pPr>
              <w:spacing w:after="100" w:afterAutospacing="1"/>
              <w:rPr>
                <w:rFonts w:ascii="Calibri" w:hAnsi="Calibri"/>
                <w:sz w:val="22"/>
                <w:szCs w:val="22"/>
              </w:rPr>
            </w:pPr>
            <w:r>
              <w:rPr>
                <w:rFonts w:ascii="Calibri" w:hAnsi="Calibri"/>
                <w:sz w:val="22"/>
                <w:szCs w:val="22"/>
              </w:rPr>
              <w:t>2020</w:t>
            </w:r>
          </w:p>
        </w:tc>
      </w:tr>
      <w:tr w:rsidR="001A41B4" w14:paraId="5C1B7440" w14:textId="77777777" w:rsidTr="001A41B4">
        <w:tc>
          <w:tcPr>
            <w:tcW w:w="4508" w:type="dxa"/>
          </w:tcPr>
          <w:p w14:paraId="012C25DB" w14:textId="121A4A84" w:rsidR="001A41B4" w:rsidRDefault="001A41B4" w:rsidP="006A4A4D">
            <w:pPr>
              <w:spacing w:after="100" w:afterAutospacing="1"/>
              <w:rPr>
                <w:rFonts w:ascii="Calibri" w:hAnsi="Calibri"/>
                <w:sz w:val="22"/>
                <w:szCs w:val="22"/>
              </w:rPr>
            </w:pPr>
            <w:r>
              <w:rPr>
                <w:rFonts w:ascii="Calibri" w:hAnsi="Calibri"/>
                <w:sz w:val="22"/>
                <w:szCs w:val="22"/>
              </w:rPr>
              <w:t>€5.5 million</w:t>
            </w:r>
          </w:p>
        </w:tc>
        <w:tc>
          <w:tcPr>
            <w:tcW w:w="4508" w:type="dxa"/>
          </w:tcPr>
          <w:p w14:paraId="15B50207" w14:textId="596894A7" w:rsidR="001A41B4" w:rsidRDefault="001A41B4" w:rsidP="006A4A4D">
            <w:pPr>
              <w:spacing w:after="100" w:afterAutospacing="1"/>
              <w:rPr>
                <w:rFonts w:ascii="Calibri" w:hAnsi="Calibri"/>
                <w:sz w:val="22"/>
                <w:szCs w:val="22"/>
              </w:rPr>
            </w:pPr>
            <w:r>
              <w:rPr>
                <w:rFonts w:ascii="Calibri" w:hAnsi="Calibri"/>
                <w:sz w:val="22"/>
                <w:szCs w:val="22"/>
              </w:rPr>
              <w:t>€7.3 million</w:t>
            </w:r>
          </w:p>
        </w:tc>
      </w:tr>
    </w:tbl>
    <w:p w14:paraId="1929F5A6" w14:textId="77777777" w:rsidR="00DA7024" w:rsidRDefault="00DA7024" w:rsidP="001A41B4">
      <w:pPr>
        <w:rPr>
          <w:rFonts w:asciiTheme="minorHAnsi" w:hAnsiTheme="minorHAnsi" w:cstheme="minorHAnsi"/>
          <w:sz w:val="22"/>
          <w:szCs w:val="22"/>
        </w:rPr>
      </w:pPr>
    </w:p>
    <w:p w14:paraId="41BC42DB" w14:textId="570941B1" w:rsidR="008432E3" w:rsidRPr="00DA7024" w:rsidRDefault="001A41B4" w:rsidP="001A41B4">
      <w:pPr>
        <w:rPr>
          <w:rFonts w:asciiTheme="minorHAnsi" w:hAnsiTheme="minorHAnsi" w:cstheme="minorHAnsi"/>
          <w:sz w:val="22"/>
          <w:szCs w:val="22"/>
        </w:rPr>
      </w:pPr>
      <w:r w:rsidRPr="00DA7024">
        <w:rPr>
          <w:rFonts w:asciiTheme="minorHAnsi" w:hAnsiTheme="minorHAnsi" w:cstheme="minorHAnsi"/>
          <w:sz w:val="22"/>
          <w:szCs w:val="22"/>
        </w:rPr>
        <w:t>The approved projects include accessible bus stops, bus station upgrades, travel assistance programme and education and training</w:t>
      </w:r>
      <w:r w:rsidR="0007522A" w:rsidRPr="00DA7024">
        <w:rPr>
          <w:rFonts w:asciiTheme="minorHAnsi" w:hAnsiTheme="minorHAnsi" w:cstheme="minorHAnsi"/>
          <w:sz w:val="22"/>
          <w:szCs w:val="22"/>
        </w:rPr>
        <w:t>.</w:t>
      </w:r>
      <w:r w:rsidR="006A4A4D" w:rsidRPr="00DA7024">
        <w:rPr>
          <w:rFonts w:asciiTheme="minorHAnsi" w:hAnsiTheme="minorHAnsi" w:cstheme="minorHAnsi"/>
          <w:sz w:val="22"/>
          <w:szCs w:val="22"/>
        </w:rPr>
        <w:t xml:space="preserve"> </w:t>
      </w:r>
    </w:p>
    <w:sectPr w:rsidR="008432E3" w:rsidRPr="00DA7024" w:rsidSect="00F41DF2">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8CF1D" w14:textId="77777777" w:rsidR="00240778" w:rsidRDefault="00240778" w:rsidP="00F41DF2">
      <w:pPr>
        <w:spacing w:after="0"/>
      </w:pPr>
      <w:r>
        <w:separator/>
      </w:r>
    </w:p>
  </w:endnote>
  <w:endnote w:type="continuationSeparator" w:id="0">
    <w:p w14:paraId="25E99C13" w14:textId="77777777" w:rsidR="00240778" w:rsidRDefault="00240778" w:rsidP="00F41D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893420"/>
      <w:docPartObj>
        <w:docPartGallery w:val="Page Numbers (Bottom of Page)"/>
        <w:docPartUnique/>
      </w:docPartObj>
    </w:sdtPr>
    <w:sdtEndPr>
      <w:rPr>
        <w:noProof/>
      </w:rPr>
    </w:sdtEndPr>
    <w:sdtContent>
      <w:p w14:paraId="74BF9837" w14:textId="06762FB3" w:rsidR="00F41DF2" w:rsidRDefault="00F41DF2">
        <w:pPr>
          <w:pStyle w:val="Footer"/>
          <w:jc w:val="right"/>
        </w:pPr>
        <w:r>
          <w:fldChar w:fldCharType="begin"/>
        </w:r>
        <w:r>
          <w:instrText xml:space="preserve"> PAGE   \* MERGEFORMAT </w:instrText>
        </w:r>
        <w:r>
          <w:fldChar w:fldCharType="separate"/>
        </w:r>
        <w:r w:rsidR="00F501AA">
          <w:rPr>
            <w:noProof/>
          </w:rPr>
          <w:t>7</w:t>
        </w:r>
        <w:r>
          <w:rPr>
            <w:noProof/>
          </w:rPr>
          <w:fldChar w:fldCharType="end"/>
        </w:r>
      </w:p>
    </w:sdtContent>
  </w:sdt>
  <w:p w14:paraId="753F738F" w14:textId="77777777" w:rsidR="00F41DF2" w:rsidRDefault="00F41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B31C5" w14:textId="77777777" w:rsidR="00240778" w:rsidRDefault="00240778" w:rsidP="00F41DF2">
      <w:pPr>
        <w:spacing w:after="0"/>
      </w:pPr>
      <w:r>
        <w:separator/>
      </w:r>
    </w:p>
  </w:footnote>
  <w:footnote w:type="continuationSeparator" w:id="0">
    <w:p w14:paraId="034EFFF7" w14:textId="77777777" w:rsidR="00240778" w:rsidRDefault="00240778" w:rsidP="00F41D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02F"/>
    <w:multiLevelType w:val="hybridMultilevel"/>
    <w:tmpl w:val="B784F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8F5C5E"/>
    <w:multiLevelType w:val="hybridMultilevel"/>
    <w:tmpl w:val="ADF63C9E"/>
    <w:lvl w:ilvl="0" w:tplc="FD24DAE2">
      <w:start w:val="1"/>
      <w:numFmt w:val="bullet"/>
      <w:lvlText w:val="•"/>
      <w:lvlJc w:val="left"/>
      <w:pPr>
        <w:tabs>
          <w:tab w:val="num" w:pos="720"/>
        </w:tabs>
        <w:ind w:left="720" w:hanging="360"/>
      </w:pPr>
      <w:rPr>
        <w:rFonts w:ascii="Arial" w:hAnsi="Arial" w:cs="Times New Roman" w:hint="default"/>
      </w:rPr>
    </w:lvl>
    <w:lvl w:ilvl="1" w:tplc="C0A2777C">
      <w:start w:val="1"/>
      <w:numFmt w:val="bullet"/>
      <w:lvlText w:val="•"/>
      <w:lvlJc w:val="left"/>
      <w:pPr>
        <w:tabs>
          <w:tab w:val="num" w:pos="1440"/>
        </w:tabs>
        <w:ind w:left="1440" w:hanging="360"/>
      </w:pPr>
      <w:rPr>
        <w:rFonts w:ascii="Arial" w:hAnsi="Arial" w:cs="Times New Roman" w:hint="default"/>
      </w:rPr>
    </w:lvl>
    <w:lvl w:ilvl="2" w:tplc="3DAC822A">
      <w:start w:val="1"/>
      <w:numFmt w:val="bullet"/>
      <w:lvlText w:val="•"/>
      <w:lvlJc w:val="left"/>
      <w:pPr>
        <w:tabs>
          <w:tab w:val="num" w:pos="2160"/>
        </w:tabs>
        <w:ind w:left="2160" w:hanging="360"/>
      </w:pPr>
      <w:rPr>
        <w:rFonts w:ascii="Arial" w:hAnsi="Arial" w:cs="Times New Roman" w:hint="default"/>
      </w:rPr>
    </w:lvl>
    <w:lvl w:ilvl="3" w:tplc="2EEECDAE">
      <w:start w:val="1"/>
      <w:numFmt w:val="bullet"/>
      <w:lvlText w:val="•"/>
      <w:lvlJc w:val="left"/>
      <w:pPr>
        <w:tabs>
          <w:tab w:val="num" w:pos="2880"/>
        </w:tabs>
        <w:ind w:left="2880" w:hanging="360"/>
      </w:pPr>
      <w:rPr>
        <w:rFonts w:ascii="Arial" w:hAnsi="Arial" w:cs="Times New Roman" w:hint="default"/>
      </w:rPr>
    </w:lvl>
    <w:lvl w:ilvl="4" w:tplc="16A4E022">
      <w:start w:val="1"/>
      <w:numFmt w:val="bullet"/>
      <w:lvlText w:val="•"/>
      <w:lvlJc w:val="left"/>
      <w:pPr>
        <w:tabs>
          <w:tab w:val="num" w:pos="3600"/>
        </w:tabs>
        <w:ind w:left="3600" w:hanging="360"/>
      </w:pPr>
      <w:rPr>
        <w:rFonts w:ascii="Arial" w:hAnsi="Arial" w:cs="Times New Roman" w:hint="default"/>
      </w:rPr>
    </w:lvl>
    <w:lvl w:ilvl="5" w:tplc="381A924E">
      <w:start w:val="1"/>
      <w:numFmt w:val="bullet"/>
      <w:lvlText w:val="•"/>
      <w:lvlJc w:val="left"/>
      <w:pPr>
        <w:tabs>
          <w:tab w:val="num" w:pos="4320"/>
        </w:tabs>
        <w:ind w:left="4320" w:hanging="360"/>
      </w:pPr>
      <w:rPr>
        <w:rFonts w:ascii="Arial" w:hAnsi="Arial" w:cs="Times New Roman" w:hint="default"/>
      </w:rPr>
    </w:lvl>
    <w:lvl w:ilvl="6" w:tplc="62500B1E">
      <w:start w:val="1"/>
      <w:numFmt w:val="bullet"/>
      <w:lvlText w:val="•"/>
      <w:lvlJc w:val="left"/>
      <w:pPr>
        <w:tabs>
          <w:tab w:val="num" w:pos="5040"/>
        </w:tabs>
        <w:ind w:left="5040" w:hanging="360"/>
      </w:pPr>
      <w:rPr>
        <w:rFonts w:ascii="Arial" w:hAnsi="Arial" w:cs="Times New Roman" w:hint="default"/>
      </w:rPr>
    </w:lvl>
    <w:lvl w:ilvl="7" w:tplc="EC7E1CB0">
      <w:start w:val="1"/>
      <w:numFmt w:val="bullet"/>
      <w:lvlText w:val="•"/>
      <w:lvlJc w:val="left"/>
      <w:pPr>
        <w:tabs>
          <w:tab w:val="num" w:pos="5760"/>
        </w:tabs>
        <w:ind w:left="5760" w:hanging="360"/>
      </w:pPr>
      <w:rPr>
        <w:rFonts w:ascii="Arial" w:hAnsi="Arial" w:cs="Times New Roman" w:hint="default"/>
      </w:rPr>
    </w:lvl>
    <w:lvl w:ilvl="8" w:tplc="F606FA2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173277C"/>
    <w:multiLevelType w:val="hybridMultilevel"/>
    <w:tmpl w:val="D428AF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A437F42"/>
    <w:multiLevelType w:val="hybridMultilevel"/>
    <w:tmpl w:val="71E49B5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3C4A1AEC"/>
    <w:multiLevelType w:val="hybridMultilevel"/>
    <w:tmpl w:val="5E44E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D872C51"/>
    <w:multiLevelType w:val="hybridMultilevel"/>
    <w:tmpl w:val="66EC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DD42C2"/>
    <w:multiLevelType w:val="hybridMultilevel"/>
    <w:tmpl w:val="911C4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42B3E9F"/>
    <w:multiLevelType w:val="hybridMultilevel"/>
    <w:tmpl w:val="15188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F5A581D"/>
    <w:multiLevelType w:val="hybridMultilevel"/>
    <w:tmpl w:val="2F900C72"/>
    <w:lvl w:ilvl="0" w:tplc="B28C2782">
      <w:start w:val="1"/>
      <w:numFmt w:val="bullet"/>
      <w:lvlText w:val="•"/>
      <w:lvlJc w:val="left"/>
      <w:pPr>
        <w:tabs>
          <w:tab w:val="num" w:pos="720"/>
        </w:tabs>
        <w:ind w:left="720" w:hanging="360"/>
      </w:pPr>
      <w:rPr>
        <w:rFonts w:ascii="Arial" w:hAnsi="Arial" w:cs="Times New Roman" w:hint="default"/>
      </w:rPr>
    </w:lvl>
    <w:lvl w:ilvl="1" w:tplc="2BC452E4">
      <w:start w:val="1"/>
      <w:numFmt w:val="bullet"/>
      <w:lvlText w:val="•"/>
      <w:lvlJc w:val="left"/>
      <w:pPr>
        <w:tabs>
          <w:tab w:val="num" w:pos="1440"/>
        </w:tabs>
        <w:ind w:left="1440" w:hanging="360"/>
      </w:pPr>
      <w:rPr>
        <w:rFonts w:ascii="Arial" w:hAnsi="Arial" w:cs="Times New Roman" w:hint="default"/>
      </w:rPr>
    </w:lvl>
    <w:lvl w:ilvl="2" w:tplc="77FA4682">
      <w:start w:val="1"/>
      <w:numFmt w:val="bullet"/>
      <w:lvlText w:val="•"/>
      <w:lvlJc w:val="left"/>
      <w:pPr>
        <w:tabs>
          <w:tab w:val="num" w:pos="2160"/>
        </w:tabs>
        <w:ind w:left="2160" w:hanging="360"/>
      </w:pPr>
      <w:rPr>
        <w:rFonts w:ascii="Arial" w:hAnsi="Arial" w:cs="Times New Roman" w:hint="default"/>
      </w:rPr>
    </w:lvl>
    <w:lvl w:ilvl="3" w:tplc="43544E04">
      <w:start w:val="1"/>
      <w:numFmt w:val="bullet"/>
      <w:lvlText w:val="•"/>
      <w:lvlJc w:val="left"/>
      <w:pPr>
        <w:tabs>
          <w:tab w:val="num" w:pos="2880"/>
        </w:tabs>
        <w:ind w:left="2880" w:hanging="360"/>
      </w:pPr>
      <w:rPr>
        <w:rFonts w:ascii="Arial" w:hAnsi="Arial" w:cs="Times New Roman" w:hint="default"/>
      </w:rPr>
    </w:lvl>
    <w:lvl w:ilvl="4" w:tplc="60D4FBF0">
      <w:start w:val="1"/>
      <w:numFmt w:val="bullet"/>
      <w:lvlText w:val="•"/>
      <w:lvlJc w:val="left"/>
      <w:pPr>
        <w:tabs>
          <w:tab w:val="num" w:pos="3600"/>
        </w:tabs>
        <w:ind w:left="3600" w:hanging="360"/>
      </w:pPr>
      <w:rPr>
        <w:rFonts w:ascii="Arial" w:hAnsi="Arial" w:cs="Times New Roman" w:hint="default"/>
      </w:rPr>
    </w:lvl>
    <w:lvl w:ilvl="5" w:tplc="A8DA2B36">
      <w:start w:val="1"/>
      <w:numFmt w:val="bullet"/>
      <w:lvlText w:val="•"/>
      <w:lvlJc w:val="left"/>
      <w:pPr>
        <w:tabs>
          <w:tab w:val="num" w:pos="4320"/>
        </w:tabs>
        <w:ind w:left="4320" w:hanging="360"/>
      </w:pPr>
      <w:rPr>
        <w:rFonts w:ascii="Arial" w:hAnsi="Arial" w:cs="Times New Roman" w:hint="default"/>
      </w:rPr>
    </w:lvl>
    <w:lvl w:ilvl="6" w:tplc="09960814">
      <w:start w:val="1"/>
      <w:numFmt w:val="bullet"/>
      <w:lvlText w:val="•"/>
      <w:lvlJc w:val="left"/>
      <w:pPr>
        <w:tabs>
          <w:tab w:val="num" w:pos="5040"/>
        </w:tabs>
        <w:ind w:left="5040" w:hanging="360"/>
      </w:pPr>
      <w:rPr>
        <w:rFonts w:ascii="Arial" w:hAnsi="Arial" w:cs="Times New Roman" w:hint="default"/>
      </w:rPr>
    </w:lvl>
    <w:lvl w:ilvl="7" w:tplc="58621D66">
      <w:start w:val="1"/>
      <w:numFmt w:val="bullet"/>
      <w:lvlText w:val="•"/>
      <w:lvlJc w:val="left"/>
      <w:pPr>
        <w:tabs>
          <w:tab w:val="num" w:pos="5760"/>
        </w:tabs>
        <w:ind w:left="5760" w:hanging="360"/>
      </w:pPr>
      <w:rPr>
        <w:rFonts w:ascii="Arial" w:hAnsi="Arial" w:cs="Times New Roman" w:hint="default"/>
      </w:rPr>
    </w:lvl>
    <w:lvl w:ilvl="8" w:tplc="4C26D3F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637F49B7"/>
    <w:multiLevelType w:val="hybridMultilevel"/>
    <w:tmpl w:val="2490FB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41134A8"/>
    <w:multiLevelType w:val="hybridMultilevel"/>
    <w:tmpl w:val="973AF10C"/>
    <w:lvl w:ilvl="0" w:tplc="D844654C">
      <w:start w:val="1"/>
      <w:numFmt w:val="bullet"/>
      <w:lvlText w:val="•"/>
      <w:lvlJc w:val="left"/>
      <w:pPr>
        <w:tabs>
          <w:tab w:val="num" w:pos="720"/>
        </w:tabs>
        <w:ind w:left="720" w:hanging="360"/>
      </w:pPr>
      <w:rPr>
        <w:rFonts w:ascii="Arial" w:hAnsi="Arial" w:cs="Times New Roman" w:hint="default"/>
      </w:rPr>
    </w:lvl>
    <w:lvl w:ilvl="1" w:tplc="6A502004">
      <w:start w:val="1"/>
      <w:numFmt w:val="bullet"/>
      <w:lvlText w:val="•"/>
      <w:lvlJc w:val="left"/>
      <w:pPr>
        <w:tabs>
          <w:tab w:val="num" w:pos="1440"/>
        </w:tabs>
        <w:ind w:left="1440" w:hanging="360"/>
      </w:pPr>
      <w:rPr>
        <w:rFonts w:ascii="Arial" w:hAnsi="Arial" w:cs="Times New Roman" w:hint="default"/>
      </w:rPr>
    </w:lvl>
    <w:lvl w:ilvl="2" w:tplc="9A5E7E70">
      <w:start w:val="1"/>
      <w:numFmt w:val="bullet"/>
      <w:lvlText w:val="•"/>
      <w:lvlJc w:val="left"/>
      <w:pPr>
        <w:tabs>
          <w:tab w:val="num" w:pos="2160"/>
        </w:tabs>
        <w:ind w:left="2160" w:hanging="360"/>
      </w:pPr>
      <w:rPr>
        <w:rFonts w:ascii="Arial" w:hAnsi="Arial" w:cs="Times New Roman" w:hint="default"/>
      </w:rPr>
    </w:lvl>
    <w:lvl w:ilvl="3" w:tplc="35241092">
      <w:start w:val="1"/>
      <w:numFmt w:val="bullet"/>
      <w:lvlText w:val="•"/>
      <w:lvlJc w:val="left"/>
      <w:pPr>
        <w:tabs>
          <w:tab w:val="num" w:pos="2880"/>
        </w:tabs>
        <w:ind w:left="2880" w:hanging="360"/>
      </w:pPr>
      <w:rPr>
        <w:rFonts w:ascii="Arial" w:hAnsi="Arial" w:cs="Times New Roman" w:hint="default"/>
      </w:rPr>
    </w:lvl>
    <w:lvl w:ilvl="4" w:tplc="057E1192">
      <w:start w:val="1"/>
      <w:numFmt w:val="bullet"/>
      <w:lvlText w:val="•"/>
      <w:lvlJc w:val="left"/>
      <w:pPr>
        <w:tabs>
          <w:tab w:val="num" w:pos="3600"/>
        </w:tabs>
        <w:ind w:left="3600" w:hanging="360"/>
      </w:pPr>
      <w:rPr>
        <w:rFonts w:ascii="Arial" w:hAnsi="Arial" w:cs="Times New Roman" w:hint="default"/>
      </w:rPr>
    </w:lvl>
    <w:lvl w:ilvl="5" w:tplc="67163934">
      <w:start w:val="1"/>
      <w:numFmt w:val="bullet"/>
      <w:lvlText w:val="•"/>
      <w:lvlJc w:val="left"/>
      <w:pPr>
        <w:tabs>
          <w:tab w:val="num" w:pos="4320"/>
        </w:tabs>
        <w:ind w:left="4320" w:hanging="360"/>
      </w:pPr>
      <w:rPr>
        <w:rFonts w:ascii="Arial" w:hAnsi="Arial" w:cs="Times New Roman" w:hint="default"/>
      </w:rPr>
    </w:lvl>
    <w:lvl w:ilvl="6" w:tplc="E50CBD6E">
      <w:start w:val="1"/>
      <w:numFmt w:val="bullet"/>
      <w:lvlText w:val="•"/>
      <w:lvlJc w:val="left"/>
      <w:pPr>
        <w:tabs>
          <w:tab w:val="num" w:pos="5040"/>
        </w:tabs>
        <w:ind w:left="5040" w:hanging="360"/>
      </w:pPr>
      <w:rPr>
        <w:rFonts w:ascii="Arial" w:hAnsi="Arial" w:cs="Times New Roman" w:hint="default"/>
      </w:rPr>
    </w:lvl>
    <w:lvl w:ilvl="7" w:tplc="D9C846B2">
      <w:start w:val="1"/>
      <w:numFmt w:val="bullet"/>
      <w:lvlText w:val="•"/>
      <w:lvlJc w:val="left"/>
      <w:pPr>
        <w:tabs>
          <w:tab w:val="num" w:pos="5760"/>
        </w:tabs>
        <w:ind w:left="5760" w:hanging="360"/>
      </w:pPr>
      <w:rPr>
        <w:rFonts w:ascii="Arial" w:hAnsi="Arial" w:cs="Times New Roman" w:hint="default"/>
      </w:rPr>
    </w:lvl>
    <w:lvl w:ilvl="8" w:tplc="9AA4F51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6DC55E1C"/>
    <w:multiLevelType w:val="hybridMultilevel"/>
    <w:tmpl w:val="2490FB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F821FE2"/>
    <w:multiLevelType w:val="hybridMultilevel"/>
    <w:tmpl w:val="2490FB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9"/>
  </w:num>
  <w:num w:numId="5">
    <w:abstractNumId w:val="11"/>
  </w:num>
  <w:num w:numId="6">
    <w:abstractNumId w:val="0"/>
  </w:num>
  <w:num w:numId="7">
    <w:abstractNumId w:val="7"/>
  </w:num>
  <w:num w:numId="8">
    <w:abstractNumId w:val="8"/>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6"/>
  </w:num>
  <w:num w:numId="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D3"/>
    <w:rsid w:val="00060B8D"/>
    <w:rsid w:val="00072700"/>
    <w:rsid w:val="0007522A"/>
    <w:rsid w:val="000852DF"/>
    <w:rsid w:val="000A6854"/>
    <w:rsid w:val="000B3283"/>
    <w:rsid w:val="000B527A"/>
    <w:rsid w:val="000B6BD1"/>
    <w:rsid w:val="000C0A26"/>
    <w:rsid w:val="000F126E"/>
    <w:rsid w:val="001675F8"/>
    <w:rsid w:val="00180C99"/>
    <w:rsid w:val="001840B2"/>
    <w:rsid w:val="001A41B4"/>
    <w:rsid w:val="001B4A16"/>
    <w:rsid w:val="001C1DBE"/>
    <w:rsid w:val="001E60A6"/>
    <w:rsid w:val="00217586"/>
    <w:rsid w:val="002405C3"/>
    <w:rsid w:val="00240778"/>
    <w:rsid w:val="00277B4C"/>
    <w:rsid w:val="002925BF"/>
    <w:rsid w:val="00296598"/>
    <w:rsid w:val="002C2143"/>
    <w:rsid w:val="002D16AA"/>
    <w:rsid w:val="002D3370"/>
    <w:rsid w:val="00300AC3"/>
    <w:rsid w:val="00310959"/>
    <w:rsid w:val="00311840"/>
    <w:rsid w:val="00343A0B"/>
    <w:rsid w:val="00383E7C"/>
    <w:rsid w:val="00425198"/>
    <w:rsid w:val="0042643F"/>
    <w:rsid w:val="00484EF5"/>
    <w:rsid w:val="005621AB"/>
    <w:rsid w:val="005B7B11"/>
    <w:rsid w:val="005D09C4"/>
    <w:rsid w:val="006205E4"/>
    <w:rsid w:val="00623185"/>
    <w:rsid w:val="00634F22"/>
    <w:rsid w:val="006A4A4D"/>
    <w:rsid w:val="006C0B70"/>
    <w:rsid w:val="006F1824"/>
    <w:rsid w:val="006F5562"/>
    <w:rsid w:val="007132CD"/>
    <w:rsid w:val="00763371"/>
    <w:rsid w:val="0077234B"/>
    <w:rsid w:val="007B0B23"/>
    <w:rsid w:val="007F4B86"/>
    <w:rsid w:val="008372ED"/>
    <w:rsid w:val="008432E3"/>
    <w:rsid w:val="0084725B"/>
    <w:rsid w:val="00850233"/>
    <w:rsid w:val="0085362C"/>
    <w:rsid w:val="008725C4"/>
    <w:rsid w:val="00874F26"/>
    <w:rsid w:val="008938AB"/>
    <w:rsid w:val="008A6373"/>
    <w:rsid w:val="0091043E"/>
    <w:rsid w:val="0098029F"/>
    <w:rsid w:val="009E22C9"/>
    <w:rsid w:val="00A544E6"/>
    <w:rsid w:val="00A95DFB"/>
    <w:rsid w:val="00AC076F"/>
    <w:rsid w:val="00AC2E94"/>
    <w:rsid w:val="00AD410D"/>
    <w:rsid w:val="00B2586F"/>
    <w:rsid w:val="00B405BB"/>
    <w:rsid w:val="00B4735B"/>
    <w:rsid w:val="00B53E61"/>
    <w:rsid w:val="00B6521F"/>
    <w:rsid w:val="00B722BD"/>
    <w:rsid w:val="00B91D04"/>
    <w:rsid w:val="00BE42A6"/>
    <w:rsid w:val="00C028DA"/>
    <w:rsid w:val="00C3763B"/>
    <w:rsid w:val="00C44EC1"/>
    <w:rsid w:val="00C50ED3"/>
    <w:rsid w:val="00CE7E14"/>
    <w:rsid w:val="00D159C0"/>
    <w:rsid w:val="00D461D3"/>
    <w:rsid w:val="00DA7024"/>
    <w:rsid w:val="00DF05B5"/>
    <w:rsid w:val="00E37371"/>
    <w:rsid w:val="00E47618"/>
    <w:rsid w:val="00E81FA6"/>
    <w:rsid w:val="00EA4D09"/>
    <w:rsid w:val="00EC1CF5"/>
    <w:rsid w:val="00F14397"/>
    <w:rsid w:val="00F31A22"/>
    <w:rsid w:val="00F41DF2"/>
    <w:rsid w:val="00F501AA"/>
    <w:rsid w:val="00F91C34"/>
    <w:rsid w:val="00FA0DAC"/>
    <w:rsid w:val="00FC33BA"/>
    <w:rsid w:val="00FC5B9A"/>
    <w:rsid w:val="00FF29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9AC0C"/>
  <w15:chartTrackingRefBased/>
  <w15:docId w15:val="{9E6301C7-8104-4423-9AC4-06D8A779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1D3"/>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D461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C21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1D3"/>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Normal"/>
    <w:next w:val="Normal"/>
    <w:qFormat/>
    <w:rsid w:val="00D461D3"/>
    <w:pPr>
      <w:keepNext/>
      <w:spacing w:before="240"/>
      <w:jc w:val="center"/>
    </w:pPr>
    <w:rPr>
      <w:b/>
    </w:rPr>
  </w:style>
  <w:style w:type="paragraph" w:styleId="ListParagraph">
    <w:name w:val="List Paragraph"/>
    <w:basedOn w:val="Normal"/>
    <w:uiPriority w:val="34"/>
    <w:qFormat/>
    <w:rsid w:val="00F41DF2"/>
    <w:pPr>
      <w:ind w:left="720"/>
      <w:contextualSpacing/>
    </w:pPr>
  </w:style>
  <w:style w:type="paragraph" w:styleId="Header">
    <w:name w:val="header"/>
    <w:basedOn w:val="Normal"/>
    <w:link w:val="HeaderChar"/>
    <w:uiPriority w:val="99"/>
    <w:unhideWhenUsed/>
    <w:rsid w:val="00F41DF2"/>
    <w:pPr>
      <w:tabs>
        <w:tab w:val="center" w:pos="4513"/>
        <w:tab w:val="right" w:pos="9026"/>
      </w:tabs>
      <w:spacing w:after="0"/>
    </w:pPr>
  </w:style>
  <w:style w:type="character" w:customStyle="1" w:styleId="HeaderChar">
    <w:name w:val="Header Char"/>
    <w:basedOn w:val="DefaultParagraphFont"/>
    <w:link w:val="Header"/>
    <w:uiPriority w:val="99"/>
    <w:rsid w:val="00F41DF2"/>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F41DF2"/>
    <w:pPr>
      <w:tabs>
        <w:tab w:val="center" w:pos="4513"/>
        <w:tab w:val="right" w:pos="9026"/>
      </w:tabs>
      <w:spacing w:after="0"/>
    </w:pPr>
  </w:style>
  <w:style w:type="character" w:customStyle="1" w:styleId="FooterChar">
    <w:name w:val="Footer Char"/>
    <w:basedOn w:val="DefaultParagraphFont"/>
    <w:link w:val="Footer"/>
    <w:uiPriority w:val="99"/>
    <w:rsid w:val="00F41DF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633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371"/>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semiHidden/>
    <w:rsid w:val="002C2143"/>
    <w:rPr>
      <w:rFonts w:asciiTheme="majorHAnsi" w:eastAsiaTheme="majorEastAsia" w:hAnsiTheme="majorHAnsi" w:cstheme="majorBidi"/>
      <w:color w:val="2E74B5" w:themeColor="accent1" w:themeShade="BF"/>
      <w:sz w:val="26"/>
      <w:szCs w:val="26"/>
      <w:lang w:val="en-GB"/>
    </w:rPr>
  </w:style>
  <w:style w:type="paragraph" w:styleId="FootnoteText">
    <w:name w:val="footnote text"/>
    <w:basedOn w:val="Normal"/>
    <w:link w:val="FootnoteTextChar"/>
    <w:uiPriority w:val="99"/>
    <w:semiHidden/>
    <w:unhideWhenUsed/>
    <w:rsid w:val="002C2143"/>
    <w:pPr>
      <w:spacing w:after="0"/>
    </w:pPr>
    <w:rPr>
      <w:sz w:val="20"/>
    </w:rPr>
  </w:style>
  <w:style w:type="character" w:customStyle="1" w:styleId="FootnoteTextChar">
    <w:name w:val="Footnote Text Char"/>
    <w:basedOn w:val="DefaultParagraphFont"/>
    <w:link w:val="FootnoteText"/>
    <w:uiPriority w:val="99"/>
    <w:semiHidden/>
    <w:rsid w:val="002C2143"/>
    <w:rPr>
      <w:rFonts w:ascii="Times New Roman" w:eastAsia="Times New Roman" w:hAnsi="Times New Roman" w:cs="Times New Roman"/>
      <w:sz w:val="20"/>
      <w:szCs w:val="20"/>
      <w:lang w:val="en-GB"/>
    </w:rPr>
  </w:style>
  <w:style w:type="character" w:styleId="FootnoteReference">
    <w:name w:val="footnote reference"/>
    <w:uiPriority w:val="99"/>
    <w:semiHidden/>
    <w:rsid w:val="002C2143"/>
    <w:rPr>
      <w:vertAlign w:val="superscript"/>
    </w:rPr>
  </w:style>
  <w:style w:type="character" w:styleId="CommentReference">
    <w:name w:val="annotation reference"/>
    <w:basedOn w:val="DefaultParagraphFont"/>
    <w:uiPriority w:val="99"/>
    <w:semiHidden/>
    <w:unhideWhenUsed/>
    <w:rsid w:val="006F1824"/>
    <w:rPr>
      <w:sz w:val="16"/>
      <w:szCs w:val="16"/>
    </w:rPr>
  </w:style>
  <w:style w:type="paragraph" w:styleId="CommentText">
    <w:name w:val="annotation text"/>
    <w:basedOn w:val="Normal"/>
    <w:link w:val="CommentTextChar"/>
    <w:uiPriority w:val="99"/>
    <w:semiHidden/>
    <w:unhideWhenUsed/>
    <w:rsid w:val="006F1824"/>
    <w:rPr>
      <w:sz w:val="20"/>
    </w:rPr>
  </w:style>
  <w:style w:type="character" w:customStyle="1" w:styleId="CommentTextChar">
    <w:name w:val="Comment Text Char"/>
    <w:basedOn w:val="DefaultParagraphFont"/>
    <w:link w:val="CommentText"/>
    <w:uiPriority w:val="99"/>
    <w:semiHidden/>
    <w:rsid w:val="006F182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F1824"/>
    <w:rPr>
      <w:b/>
      <w:bCs/>
    </w:rPr>
  </w:style>
  <w:style w:type="character" w:customStyle="1" w:styleId="CommentSubjectChar">
    <w:name w:val="Comment Subject Char"/>
    <w:basedOn w:val="CommentTextChar"/>
    <w:link w:val="CommentSubject"/>
    <w:uiPriority w:val="99"/>
    <w:semiHidden/>
    <w:rsid w:val="006F1824"/>
    <w:rPr>
      <w:rFonts w:ascii="Times New Roman" w:eastAsia="Times New Roman" w:hAnsi="Times New Roman" w:cs="Times New Roman"/>
      <w:b/>
      <w:bCs/>
      <w:sz w:val="20"/>
      <w:szCs w:val="20"/>
      <w:lang w:val="en-GB"/>
    </w:rPr>
  </w:style>
  <w:style w:type="table" w:styleId="TableGrid">
    <w:name w:val="Table Grid"/>
    <w:basedOn w:val="TableNormal"/>
    <w:uiPriority w:val="39"/>
    <w:rsid w:val="001A4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0452">
      <w:bodyDiv w:val="1"/>
      <w:marLeft w:val="0"/>
      <w:marRight w:val="0"/>
      <w:marTop w:val="0"/>
      <w:marBottom w:val="0"/>
      <w:divBdr>
        <w:top w:val="none" w:sz="0" w:space="0" w:color="auto"/>
        <w:left w:val="none" w:sz="0" w:space="0" w:color="auto"/>
        <w:bottom w:val="none" w:sz="0" w:space="0" w:color="auto"/>
        <w:right w:val="none" w:sz="0" w:space="0" w:color="auto"/>
      </w:divBdr>
    </w:div>
    <w:div w:id="1109544974">
      <w:bodyDiv w:val="1"/>
      <w:marLeft w:val="0"/>
      <w:marRight w:val="0"/>
      <w:marTop w:val="0"/>
      <w:marBottom w:val="0"/>
      <w:divBdr>
        <w:top w:val="none" w:sz="0" w:space="0" w:color="auto"/>
        <w:left w:val="none" w:sz="0" w:space="0" w:color="auto"/>
        <w:bottom w:val="none" w:sz="0" w:space="0" w:color="auto"/>
        <w:right w:val="none" w:sz="0" w:space="0" w:color="auto"/>
      </w:divBdr>
    </w:div>
    <w:div w:id="1259752120">
      <w:bodyDiv w:val="1"/>
      <w:marLeft w:val="0"/>
      <w:marRight w:val="0"/>
      <w:marTop w:val="0"/>
      <w:marBottom w:val="0"/>
      <w:divBdr>
        <w:top w:val="none" w:sz="0" w:space="0" w:color="auto"/>
        <w:left w:val="none" w:sz="0" w:space="0" w:color="auto"/>
        <w:bottom w:val="none" w:sz="0" w:space="0" w:color="auto"/>
        <w:right w:val="none" w:sz="0" w:space="0" w:color="auto"/>
      </w:divBdr>
    </w:div>
    <w:div w:id="1391155750">
      <w:bodyDiv w:val="1"/>
      <w:marLeft w:val="0"/>
      <w:marRight w:val="0"/>
      <w:marTop w:val="0"/>
      <w:marBottom w:val="0"/>
      <w:divBdr>
        <w:top w:val="none" w:sz="0" w:space="0" w:color="auto"/>
        <w:left w:val="none" w:sz="0" w:space="0" w:color="auto"/>
        <w:bottom w:val="none" w:sz="0" w:space="0" w:color="auto"/>
        <w:right w:val="none" w:sz="0" w:space="0" w:color="auto"/>
      </w:divBdr>
    </w:div>
    <w:div w:id="1928683621">
      <w:bodyDiv w:val="1"/>
      <w:marLeft w:val="0"/>
      <w:marRight w:val="0"/>
      <w:marTop w:val="0"/>
      <w:marBottom w:val="0"/>
      <w:divBdr>
        <w:top w:val="none" w:sz="0" w:space="0" w:color="auto"/>
        <w:left w:val="none" w:sz="0" w:space="0" w:color="auto"/>
        <w:bottom w:val="none" w:sz="0" w:space="0" w:color="auto"/>
        <w:right w:val="none" w:sz="0" w:space="0" w:color="auto"/>
      </w:divBdr>
    </w:div>
    <w:div w:id="20602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tionaltransport.ie/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CCBB1-7A57-427C-AEB0-C8E731C3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McNally</dc:creator>
  <cp:keywords/>
  <dc:description/>
  <cp:lastModifiedBy>Jackie Mullen</cp:lastModifiedBy>
  <cp:revision>3</cp:revision>
  <cp:lastPrinted>2020-01-17T08:44:00Z</cp:lastPrinted>
  <dcterms:created xsi:type="dcterms:W3CDTF">2021-11-17T11:37:00Z</dcterms:created>
  <dcterms:modified xsi:type="dcterms:W3CDTF">2021-11-17T11:41:00Z</dcterms:modified>
</cp:coreProperties>
</file>