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F5A2" w14:textId="45913B94" w:rsidR="00444841" w:rsidRPr="00597A03" w:rsidRDefault="00444841" w:rsidP="00597A03">
      <w:pPr>
        <w:pStyle w:val="Title"/>
      </w:pPr>
      <w:r>
        <w:rPr>
          <w:lang w:val="ga"/>
        </w:rPr>
        <w:t xml:space="preserve">Ionstraim Reachtúil Uimhir </w:t>
      </w:r>
    </w:p>
    <w:p w14:paraId="650A1E04" w14:textId="77777777" w:rsidR="00444841" w:rsidRPr="00C53939" w:rsidRDefault="00444841" w:rsidP="00F376CF">
      <w:pPr>
        <w:spacing w:line="360" w:lineRule="auto"/>
        <w:jc w:val="center"/>
        <w:rPr>
          <w:rFonts w:cs="Tahoma"/>
        </w:rPr>
      </w:pPr>
    </w:p>
    <w:p w14:paraId="502E7B4F" w14:textId="00EFC757" w:rsidR="00444841" w:rsidRPr="00C53939" w:rsidRDefault="00B319A2" w:rsidP="00597A03">
      <w:r>
        <w:rPr>
          <w:lang w:val="ga"/>
        </w:rPr>
        <w:t xml:space="preserve">Na Rialacháin um Beagfheithiclí Seirbhíse Poiblí (Cionta Íocaíochta Seasta agus Tréimhse Ceadúnais Tiománaí) </w:t>
      </w:r>
    </w:p>
    <w:p w14:paraId="223D6935" w14:textId="77777777" w:rsidR="00444841" w:rsidRPr="00C53939" w:rsidRDefault="00444841" w:rsidP="00597A03"/>
    <w:p w14:paraId="28F9D220" w14:textId="1885CB28" w:rsidR="00444841" w:rsidRPr="00C53939" w:rsidRDefault="00444841" w:rsidP="00597A03">
      <w:r>
        <w:rPr>
          <w:lang w:val="ga"/>
        </w:rPr>
        <w:t>I bhfeidhmiú na gcumhachtaí a thugtar dó le halt 7 agus le halt 48 de na hAchtanna um Rialáil Tacsaithe, 2013 agus 2016 (Uimh. 37 de 2013), arna leasú, déanann an tÚdarás Náisiúnta Iompair leis seo na Rialacháin seo a leanas:</w:t>
      </w:r>
    </w:p>
    <w:p w14:paraId="12FECE20" w14:textId="77777777" w:rsidR="00444841" w:rsidRPr="00C53939" w:rsidRDefault="00444841" w:rsidP="00597A03"/>
    <w:p w14:paraId="54365374" w14:textId="77777777" w:rsidR="00444841" w:rsidRPr="00C53939" w:rsidRDefault="00444841" w:rsidP="00597A03">
      <w:r>
        <w:rPr>
          <w:lang w:val="ga"/>
        </w:rPr>
        <w:t>Féadfar na Rialacháin um Beagfheithiclí Seirbhíse Poiblí (Cionta Íocaíochta Seasta agus Tréimhse Ceadúnais Tiománaí), [•], a ghairm de na Rialacháin seo.</w:t>
      </w:r>
    </w:p>
    <w:p w14:paraId="432C5AF6" w14:textId="77777777" w:rsidR="00444841" w:rsidRPr="00C53939" w:rsidRDefault="00444841" w:rsidP="00597A03"/>
    <w:p w14:paraId="17AA76B2" w14:textId="77777777" w:rsidR="00444841" w:rsidRPr="00C53939" w:rsidRDefault="004D380C" w:rsidP="00597A03">
      <w:r>
        <w:rPr>
          <w:lang w:val="ga"/>
        </w:rPr>
        <w:t>Sna Rialacháin seo, ciallaíonn “Príomh-Rialacháin” na Rialacháin um Rialáil Tacsaithe (Beagfheithicil Seirbhíse Poiblí), 2015 (I.R. Uimh. 33 de 2015).</w:t>
      </w:r>
    </w:p>
    <w:p w14:paraId="019850A7" w14:textId="77777777" w:rsidR="00444841" w:rsidRPr="00C53939" w:rsidRDefault="00444841" w:rsidP="00597A03"/>
    <w:p w14:paraId="4B5ABCCE" w14:textId="77777777" w:rsidR="00444841" w:rsidRPr="00C53939" w:rsidRDefault="00444841" w:rsidP="00597A03">
      <w:r>
        <w:rPr>
          <w:lang w:val="ga"/>
        </w:rPr>
        <w:t>Leasaítear na Príomh-Rialacháin tríd an méid seo a leanas a chur in ionad Sceideal 8:—</w:t>
      </w:r>
    </w:p>
    <w:p w14:paraId="730A1622" w14:textId="0B7682D0" w:rsidR="00EA3A15" w:rsidRPr="00597A03" w:rsidRDefault="00B319A2" w:rsidP="00597A03">
      <w:pPr>
        <w:rPr>
          <w:rFonts w:cs="Tahoma"/>
          <w:b/>
        </w:rPr>
      </w:pPr>
      <w:r>
        <w:rPr>
          <w:rFonts w:cs="Tahoma"/>
          <w:b/>
          <w:bCs/>
          <w:lang w:val="ga"/>
        </w:rPr>
        <w:t>Sceideal 8</w:t>
      </w:r>
    </w:p>
    <w:p w14:paraId="64FFFFD9" w14:textId="77777777" w:rsidR="00EA3A15" w:rsidRPr="00597A03" w:rsidRDefault="00EA3A15" w:rsidP="00597A03">
      <w:pPr>
        <w:rPr>
          <w:rFonts w:cs="Tahoma"/>
          <w:b/>
        </w:rPr>
      </w:pPr>
      <w:r>
        <w:rPr>
          <w:rFonts w:cs="Tahoma"/>
          <w:b/>
          <w:bCs/>
          <w:lang w:val="ga"/>
        </w:rPr>
        <w:t>Cionta Íocaíochta Seasta – Méideanna Forordaithe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of proposed fixed payment offences and prescribed amounts for each office"/>
        <w:tblDescription w:val="This table includes a proposed increase to the fine for Refusal to carry assistance dog or guide dog in a small public service vehicle for the amount of €250. It also includes the proposal to introduced a new fine for Refusal by the driver to carry a passenger in a wheelchair for the amount of €250."/>
      </w:tblPr>
      <w:tblGrid>
        <w:gridCol w:w="1013"/>
        <w:gridCol w:w="2789"/>
        <w:gridCol w:w="3320"/>
        <w:gridCol w:w="1894"/>
      </w:tblGrid>
      <w:tr w:rsidR="00EA3A15" w:rsidRPr="00597A03" w14:paraId="18CEE08E" w14:textId="77777777" w:rsidTr="000D480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E71" w14:textId="77777777" w:rsidR="00EA3A15" w:rsidRPr="00597A03" w:rsidRDefault="00EA3A15" w:rsidP="001D70C5">
            <w:pPr>
              <w:spacing w:line="276" w:lineRule="auto"/>
              <w:jc w:val="center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Cód</w:t>
            </w:r>
          </w:p>
          <w:p w14:paraId="4827C37F" w14:textId="77777777" w:rsidR="00EA3A15" w:rsidRPr="00597A03" w:rsidRDefault="00EA3A15" w:rsidP="001D70C5">
            <w:pPr>
              <w:spacing w:line="276" w:lineRule="auto"/>
              <w:jc w:val="center"/>
              <w:rPr>
                <w:rFonts w:eastAsia="Calibri" w:cs="Tahoma"/>
              </w:rPr>
            </w:pPr>
          </w:p>
          <w:p w14:paraId="3883AEF0" w14:textId="77777777" w:rsidR="00EA3A15" w:rsidRPr="00597A03" w:rsidRDefault="00EA3A15" w:rsidP="001D70C5">
            <w:pPr>
              <w:pStyle w:val="BodyText"/>
              <w:jc w:val="center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(1)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1D3" w14:textId="77777777" w:rsidR="00EA3A15" w:rsidRPr="00597A03" w:rsidRDefault="00EA3A15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Alt den Phríomh-Acht nó</w:t>
            </w:r>
          </w:p>
          <w:p w14:paraId="207BEDD1" w14:textId="77777777" w:rsidR="00EA3A15" w:rsidRPr="00597A03" w:rsidRDefault="00EA3A15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Rialachán faoi na Rialacháin seo</w:t>
            </w:r>
          </w:p>
          <w:p w14:paraId="4D5F2D50" w14:textId="77777777" w:rsidR="00EA3A15" w:rsidRPr="00597A03" w:rsidRDefault="00EA3A15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(2)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2D5A" w14:textId="77777777" w:rsidR="00EA3A15" w:rsidRPr="00597A03" w:rsidRDefault="00EA3A15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Tuairisc ar an gCion</w:t>
            </w:r>
          </w:p>
          <w:p w14:paraId="398AC6FD" w14:textId="77777777" w:rsidR="00EA3A15" w:rsidRPr="00597A03" w:rsidRDefault="00EA3A15" w:rsidP="00B319A2">
            <w:pPr>
              <w:spacing w:line="276" w:lineRule="auto"/>
              <w:rPr>
                <w:rFonts w:eastAsia="Calibri" w:cs="Tahoma"/>
              </w:rPr>
            </w:pPr>
          </w:p>
          <w:p w14:paraId="1C00A3F7" w14:textId="77777777" w:rsidR="00EA3A15" w:rsidRPr="00597A03" w:rsidRDefault="00EA3A15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(3)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C37" w14:textId="77777777" w:rsidR="00EA3A15" w:rsidRPr="00597A03" w:rsidRDefault="00EA3A15" w:rsidP="001D70C5">
            <w:pPr>
              <w:spacing w:line="276" w:lineRule="auto"/>
              <w:jc w:val="center"/>
              <w:rPr>
                <w:rFonts w:cs="Tahoma"/>
              </w:rPr>
            </w:pPr>
            <w:r>
              <w:rPr>
                <w:rFonts w:cs="Tahoma"/>
                <w:lang w:val="ga"/>
              </w:rPr>
              <w:t>Méid an Phionóis Sheasta</w:t>
            </w:r>
          </w:p>
          <w:p w14:paraId="713EC0BD" w14:textId="77777777" w:rsidR="00EA3A15" w:rsidRPr="00597A03" w:rsidRDefault="00EA3A15" w:rsidP="001D70C5">
            <w:pPr>
              <w:spacing w:line="276" w:lineRule="auto"/>
              <w:jc w:val="center"/>
              <w:rPr>
                <w:rFonts w:cs="Tahoma"/>
              </w:rPr>
            </w:pPr>
          </w:p>
          <w:p w14:paraId="0F750F0B" w14:textId="77777777" w:rsidR="00EA3A15" w:rsidRPr="00597A03" w:rsidRDefault="00EA3A15" w:rsidP="001D70C5">
            <w:pPr>
              <w:pStyle w:val="BodyText"/>
              <w:jc w:val="center"/>
              <w:rPr>
                <w:rFonts w:cs="Tahoma"/>
              </w:rPr>
            </w:pPr>
            <w:r>
              <w:rPr>
                <w:rFonts w:cs="Tahoma"/>
                <w:lang w:val="ga"/>
              </w:rPr>
              <w:t>(4)</w:t>
            </w:r>
          </w:p>
        </w:tc>
      </w:tr>
      <w:tr w:rsidR="000D4809" w:rsidRPr="00C53939" w14:paraId="314427F4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CF8" w14:textId="77777777" w:rsidR="000D4809" w:rsidRPr="00C53939" w:rsidRDefault="000D4809" w:rsidP="000D4809">
            <w:pPr>
              <w:pStyle w:val="BodyText"/>
              <w:jc w:val="center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D1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793" w14:textId="74F7E49B" w:rsidR="000D4809" w:rsidRPr="00C53939" w:rsidRDefault="000D4809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Rialachán 45(1)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B84F" w14:textId="77777777" w:rsidR="000D4809" w:rsidRPr="00C53939" w:rsidRDefault="000D4809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Mainneachtain an fhaisnéis riachtanach infheithicle a chur ar taispeáint.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F6360" w14:textId="510691F9" w:rsidR="000D4809" w:rsidRPr="00D64F67" w:rsidRDefault="000D4809" w:rsidP="000D4809">
            <w:pPr>
              <w:pStyle w:val="BodyTex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4625311D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975" w14:textId="77777777" w:rsidR="000D4809" w:rsidRPr="00C53939" w:rsidRDefault="000D4809" w:rsidP="000D4809">
            <w:pPr>
              <w:pStyle w:val="BodyText"/>
              <w:jc w:val="center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lastRenderedPageBreak/>
              <w:t>D2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1B9" w14:textId="77777777" w:rsidR="000D4809" w:rsidRPr="00C53939" w:rsidRDefault="000D4809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Alt 25(9), a mhéid a bhaineann sé le halt 25(6) den Phríomh-Acht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0657" w14:textId="77777777" w:rsidR="000D4809" w:rsidRPr="00C53939" w:rsidRDefault="000D4809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Tiománaí a bheith ina sheasamh nó ina seasamh nó a bheith páirceáilte ag áit seasaimh cheaptha nuair nach mbeidh an fheithicil ar fáil chun fruilithe.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D132B" w14:textId="041AE922" w:rsidR="000D4809" w:rsidRPr="00D64F67" w:rsidRDefault="000D4809" w:rsidP="000D4809">
            <w:pPr>
              <w:pStyle w:val="BodyText"/>
              <w:jc w:val="center"/>
              <w:rPr>
                <w:rFonts w:eastAsia="Calibri"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€80</w:t>
            </w:r>
          </w:p>
        </w:tc>
      </w:tr>
      <w:tr w:rsidR="000D4809" w:rsidRPr="00C53939" w14:paraId="49DD9FEE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CDF" w14:textId="77777777" w:rsidR="000D4809" w:rsidRPr="00C53939" w:rsidRDefault="000D4809" w:rsidP="000D4809">
            <w:pPr>
              <w:pStyle w:val="BodyText"/>
              <w:jc w:val="center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D3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77E" w14:textId="77777777" w:rsidR="000D4809" w:rsidRPr="00C53939" w:rsidRDefault="000D4809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Alt 25(9), a mhéid a bhaineann sé le halt 25(4) den Phríomh-Acht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C442" w14:textId="77777777" w:rsidR="000D4809" w:rsidRPr="00C53939" w:rsidRDefault="000D4809" w:rsidP="00B319A2">
            <w:pPr>
              <w:pStyle w:val="BodyText"/>
              <w:jc w:val="left"/>
              <w:rPr>
                <w:rFonts w:eastAsia="Calibri" w:cs="Tahoma"/>
              </w:rPr>
            </w:pPr>
            <w:r>
              <w:rPr>
                <w:rFonts w:cs="Tahoma"/>
                <w:lang w:val="ga"/>
              </w:rPr>
              <w:t>Tiománaí a bheith ina sheasamh nó ina seasamh chun fruilithe i dtacsaí ag áit nach áit seasaimh cheaptha.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0D663" w14:textId="176E7181" w:rsidR="000D4809" w:rsidRPr="00D64F67" w:rsidRDefault="000D4809" w:rsidP="000D4809">
            <w:pPr>
              <w:pStyle w:val="BodyText"/>
              <w:jc w:val="center"/>
              <w:rPr>
                <w:rFonts w:eastAsia="Calibri"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7F419CFE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2FD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278" w14:textId="3B116302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39(1)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E847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Diúltú madra cuidithe nó madra treorach a iompar i mbeagfheithicil seirbhíse poiblí.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5BA7CF" w14:textId="03052587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€250</w:t>
            </w:r>
          </w:p>
        </w:tc>
      </w:tr>
      <w:tr w:rsidR="000D4809" w:rsidRPr="00C53939" w14:paraId="3B9087CC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297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723" w14:textId="23000029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Rialacháin 56(1) agus 56(2)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E0F8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Mainneachtain admháil tacsaiméadair atá san fhoirm fhorordaithe a phriontáil agus a thairiscint do phaisinéir ar thuras de thacsaí a chríochnú.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491D" w14:textId="777D6057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3698434A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1AB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EAE" w14:textId="10C9725E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Rialacháin 57(1) agus 57(2)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DFB9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Mainneachtain admháil atá san fhoirm fhorordaithe a chur ar fáil do phaisinéir ar thuras de fhruilcharr nó de limisín a chríochnú.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B6CC3" w14:textId="1FE5E192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6DB0DA62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E8B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A1C" w14:textId="3E15E29F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58(1)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162D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Tiománaí a bheith ina sheasamh nó ina seasamh chun fruilithe nó a bheith ar thuras chun fruilithe i limistéar gan ceadúnas a bheith aige nó aici a bheith ina sheasamh nó ina seasamh chun fruilithe nó a bheith ar thuras chun fruilithe sa limistéar sin.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94ACAB" w14:textId="510B6119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€200</w:t>
            </w:r>
          </w:p>
        </w:tc>
      </w:tr>
      <w:tr w:rsidR="000D4809" w:rsidRPr="00C53939" w14:paraId="759CC494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FA2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lastRenderedPageBreak/>
              <w:t>L8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1168" w14:textId="029BDC77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46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AE87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Mainneachtain ceanglais chomhartha dín tacsaí a chomhlíonadh.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DA5285" w14:textId="3C98EBBA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11F6E3E4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32B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L9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6C7" w14:textId="236B2F61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48(1)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0EB6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Comhartha nó fógrán nach comhartha nó fógrán atá ceadaithe i scríbhinn ag an Údarás Náisiúnta Iompair a chur ar taispeáint ar fhruilcharr nó ar limisín.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5295" w14:textId="51980AC6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€80</w:t>
            </w:r>
          </w:p>
        </w:tc>
      </w:tr>
      <w:tr w:rsidR="000D4809" w:rsidRPr="00C53939" w14:paraId="149B9AAD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96D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L10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BE5" w14:textId="0D7FDEFD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51(1)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DD1B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Mainneachtain fógra a thabhairt faoi mhionsonraí na beagfheithicle seirbhíse poiblí a bheith á hoibriú.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581146" w14:textId="50E21D5A" w:rsidR="000D4809" w:rsidRPr="00D64F67" w:rsidRDefault="000D4809" w:rsidP="000D4809">
            <w:pPr>
              <w:tabs>
                <w:tab w:val="left" w:pos="702"/>
              </w:tabs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€200</w:t>
            </w:r>
          </w:p>
        </w:tc>
      </w:tr>
      <w:tr w:rsidR="000D4809" w:rsidRPr="00C53939" w14:paraId="2F0FE8A6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639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D11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51A" w14:textId="5CAD7A52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53(3)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395B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Tacsaiméadar a oibriú le linn tacsaí a bheith ina sheasamh chun fruilithe nó a bheith ar thuras chun fruilithe.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1739C3" w14:textId="0D8CF438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€150</w:t>
            </w:r>
          </w:p>
        </w:tc>
      </w:tr>
      <w:tr w:rsidR="000D4809" w:rsidRPr="00C53939" w14:paraId="62436F4B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F70F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A41" w14:textId="0072A1DC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53(2)(c)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551B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Mainneachtain tacsaiméadar a oibriú le linn tacsaí a bheith ar fruiliú.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0BD050" w14:textId="7381B8BF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€150</w:t>
            </w:r>
          </w:p>
        </w:tc>
      </w:tr>
      <w:tr w:rsidR="000D4809" w:rsidRPr="00C53939" w14:paraId="1A132276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F1B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D13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700" w14:textId="70F0EF4F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53(2)(a)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CCD1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Mainneachtain na ceanglais i ndáil le tacsaiméadar a fheistiú agus a oibriú a chomhlíonadh.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807B9D" w14:textId="52995E43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€150</w:t>
            </w:r>
          </w:p>
        </w:tc>
      </w:tr>
      <w:tr w:rsidR="000D4809" w:rsidRPr="00C53939" w14:paraId="3C4441F0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5F9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D14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F8A1" w14:textId="1726106B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55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3D57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  <w:highlight w:val="yellow"/>
              </w:rPr>
            </w:pPr>
            <w:r>
              <w:rPr>
                <w:rFonts w:eastAsia="Calibri" w:cs="Tahoma"/>
                <w:lang w:val="ga"/>
              </w:rPr>
              <w:t>Táille áirithinte a chur i bhfeidhm i leith tacsaí a fhostófar le linn é a bheith ar thuras chun fruilithe nó a bheith ina sheasamh chun fruilithe nó i gcás nach mbeidh sé curtha in áirithe roimh ré ag an tomhaltóir.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E807" w14:textId="60C21950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736BF441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586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lastRenderedPageBreak/>
              <w:t>D15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748" w14:textId="77777777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 xml:space="preserve">Alt 25(9), a mhéid a bhaineann sé le halt 25(5) den Phríomh-Acht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786F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Tiománaí a bheith ina sheasamh nó ina seasamh le tacsaí ar chuid den bhóthar poiblí atá tadhlach le háit seasaimh cheaptha nó cóngarach di i gcás go mbeidh an áit seasaimh cheaptha lán.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E32E17" w14:textId="1151FE43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€80</w:t>
            </w:r>
          </w:p>
        </w:tc>
      </w:tr>
      <w:tr w:rsidR="000D4809" w:rsidRPr="00C53939" w14:paraId="1FA618B3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1E5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078" w14:textId="6DBFF650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47(1)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10DD" w14:textId="77777777" w:rsidR="000D4809" w:rsidRPr="00C53939" w:rsidRDefault="000D4809" w:rsidP="00B319A2">
            <w:p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  <w:lang w:val="ga"/>
              </w:rPr>
              <w:t>Mainneachtain an Cárta riachtanach bailí Taispeána Tiománaí Beagfheithicle Seirbhíse Poiblí a chur ar taispeáint chun go mbeidh sé le feiceáil go soiléir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C7BCE3" w14:textId="11940EE8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€200</w:t>
            </w:r>
          </w:p>
        </w:tc>
      </w:tr>
      <w:tr w:rsidR="000D4809" w:rsidRPr="00C53939" w14:paraId="4A66FC34" w14:textId="77777777" w:rsidTr="00B541AD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266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A17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5D0" w14:textId="675614B1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Rialacháin 24, 25, 26, 27 agus 28 de na Rialacháin seo, seachas a mhéid a bhaineann siad le mír 21(1) de Sceideal 2 a ghabhann leis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5F79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  <w:highlight w:val="green"/>
              </w:rPr>
            </w:pPr>
            <w:r>
              <w:rPr>
                <w:rFonts w:cs="Tahoma"/>
                <w:lang w:val="ga"/>
              </w:rPr>
              <w:t>Mainneachtain na caighdeáin agus na ceanglais feithicle is infheidhme maidir leis an gcatagóir iomchuí ceadúnais a chomhlíonadh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86A9" w14:textId="780CA774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€100</w:t>
            </w:r>
          </w:p>
        </w:tc>
      </w:tr>
      <w:tr w:rsidR="000D4809" w:rsidRPr="00C53939" w14:paraId="59508568" w14:textId="77777777" w:rsidTr="00B541AD">
        <w:trPr>
          <w:trHeight w:val="59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5A3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D18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ABE" w14:textId="1A001663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59(1)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A708" w14:textId="77777777" w:rsidR="000D4809" w:rsidRPr="00C53939" w:rsidRDefault="000D4809" w:rsidP="00B319A2">
            <w:pPr>
              <w:tabs>
                <w:tab w:val="left" w:pos="702"/>
              </w:tabs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 xml:space="preserve">Mainneachtain aon tiománaí fruilchairr nó limisín an taifead riachtanach áirithinte a iompar i leith aon fhruilithe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C6A90F" w14:textId="188110CB" w:rsidR="000D4809" w:rsidRPr="00D64F67" w:rsidRDefault="000D4809" w:rsidP="000D4809">
            <w:pPr>
              <w:tabs>
                <w:tab w:val="left" w:pos="702"/>
              </w:tabs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€80</w:t>
            </w:r>
          </w:p>
        </w:tc>
      </w:tr>
      <w:tr w:rsidR="000D4809" w:rsidRPr="00C53939" w14:paraId="3EC34180" w14:textId="77777777" w:rsidTr="000D480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DC2" w14:textId="3E1DA8B9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D19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E32" w14:textId="12DE99ED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4(a) de na Rialacháin um Beagfheithiclí Seirbhíse Poiblí (Saoráid Íocaíochta gan Airgead Tirim), 2022 (I.R. Uimh. 294 de 2022)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BB29" w14:textId="00C3CEFA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cs="Tahoma"/>
                <w:lang w:val="ga"/>
              </w:rPr>
              <w:t>Mainneachtain gaireas feidhmiúil íocaíochta gan airgead tirim a iompar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FA2D" w14:textId="72E7F0EF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lang w:val="ga"/>
              </w:rPr>
              <w:t>€200</w:t>
            </w:r>
          </w:p>
        </w:tc>
      </w:tr>
      <w:tr w:rsidR="000D4809" w:rsidRPr="00C53939" w14:paraId="36B9E5CB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BB2" w14:textId="4712EFCB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D20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20E" w14:textId="3C862493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 xml:space="preserve">Rialachán 4(b) de na Rialacháin um Beagfheithiclí Seirbhíse Poiblí (Saoráid Íocaíochta gan Airgead </w:t>
            </w:r>
            <w:r>
              <w:rPr>
                <w:rFonts w:ascii="Tahoma" w:hAnsi="Tahoma" w:cs="Tahoma"/>
                <w:sz w:val="24"/>
                <w:lang w:val="ga"/>
              </w:rPr>
              <w:lastRenderedPageBreak/>
              <w:t>Tirim), 2022 (I.R. Uimh. 294 de 2022)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6D7C" w14:textId="0135EF7A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cs="Tahoma"/>
                <w:lang w:val="ga"/>
              </w:rPr>
              <w:lastRenderedPageBreak/>
              <w:t>Mainneachtain glacadh le híocaíocht gan airgead tirim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530" w14:textId="0D30C728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lang w:val="ga"/>
              </w:rPr>
              <w:t>€200</w:t>
            </w:r>
          </w:p>
        </w:tc>
      </w:tr>
      <w:tr w:rsidR="000D4809" w:rsidRPr="00C53939" w14:paraId="299B9795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246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A21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296" w14:textId="01277BB0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44(3)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464F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eastAsia="Calibri" w:cs="Tahoma"/>
                <w:lang w:val="ga"/>
              </w:rPr>
              <w:t>Diosca crioscaíldíonach beagfheithicle seirbhíse poiblí a bhaint, nó iarracht a dhéanamh ar é a bhaint, nó damáiste a dhéanamh do dhiosca crioscaíldíonach beagfheithicle seirbhíse poiblí nó cur isteach air.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26C8" w14:textId="46E606B9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€150</w:t>
            </w:r>
          </w:p>
        </w:tc>
      </w:tr>
      <w:tr w:rsidR="000D4809" w:rsidRPr="00C53939" w14:paraId="5A15B4B6" w14:textId="77777777" w:rsidTr="00C5393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933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D22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A99" w14:textId="64340768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44(1)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4DF3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  <w:highlight w:val="green"/>
              </w:rPr>
            </w:pPr>
            <w:r>
              <w:rPr>
                <w:rFonts w:eastAsia="Calibri" w:cs="Tahoma"/>
                <w:lang w:val="ga"/>
              </w:rPr>
              <w:t>Mainneachtain dioscaí bailí crioscaíldíonacha a chur ar taispeáint.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15278" w14:textId="019CD4E8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€150</w:t>
            </w:r>
          </w:p>
        </w:tc>
      </w:tr>
      <w:tr w:rsidR="000D4809" w:rsidRPr="00C53939" w14:paraId="025A4C33" w14:textId="77777777" w:rsidTr="00C90A7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245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D23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6F9" w14:textId="77777777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Alt 23(2) den Phríomh-Acht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0A5B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  <w:highlight w:val="green"/>
              </w:rPr>
            </w:pPr>
            <w:r>
              <w:rPr>
                <w:rFonts w:eastAsia="Calibri" w:cs="Tahoma"/>
                <w:lang w:val="ga"/>
              </w:rPr>
              <w:t>Diúltú míréasúnach ag an tiománaí paisinéir a iompar.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00E1D" w14:textId="78A078C2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€150</w:t>
            </w:r>
          </w:p>
        </w:tc>
      </w:tr>
      <w:tr w:rsidR="000D4809" w:rsidRPr="00C53939" w14:paraId="1427C68B" w14:textId="77777777" w:rsidTr="00C90A7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5F3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D24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8AD" w14:textId="41D63C40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eastAsia="Calibri" w:hAnsi="Tahoma" w:cs="Tahoma"/>
                <w:sz w:val="24"/>
                <w:lang w:val="ga"/>
              </w:rPr>
              <w:t>Rialachán 53(2)(b)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B6D2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  <w:highlight w:val="green"/>
              </w:rPr>
            </w:pPr>
            <w:r>
              <w:rPr>
                <w:rFonts w:eastAsia="Calibri" w:cs="Tahoma"/>
                <w:lang w:val="ga"/>
              </w:rPr>
              <w:t>Mainneachtain na ceanglais i ndáil le tacsaiméadair a chalabrú a chomhlíonadh.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56530" w14:textId="3F459853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€250</w:t>
            </w:r>
          </w:p>
        </w:tc>
      </w:tr>
      <w:tr w:rsidR="000D4809" w:rsidRPr="00C53939" w14:paraId="726534EA" w14:textId="77777777" w:rsidTr="00C90A7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FBF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A26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6A4" w14:textId="5F2A50BE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eastAsia="Calibri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Rialacháin 24 agus 26 de na Rialacháin seo, a mhéid a bhaineann siad le mír 21(1) de Sceideal 2 a ghabhann leis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4CC5" w14:textId="77777777" w:rsidR="000D4809" w:rsidRPr="00C53939" w:rsidRDefault="000D4809" w:rsidP="00B319A2">
            <w:pPr>
              <w:spacing w:line="276" w:lineRule="auto"/>
              <w:rPr>
                <w:rFonts w:eastAsia="Calibri" w:cs="Tahoma"/>
              </w:rPr>
            </w:pPr>
            <w:r>
              <w:rPr>
                <w:rFonts w:cs="Tahoma"/>
                <w:lang w:val="ga"/>
              </w:rPr>
              <w:t>Mainneachtain an chomharthaíocht fhorordaithe a bheith greamaithe de dhoirse tosaigh tacsaí nó de dhoirse tosaigh tacsaí atá inrochtana ag cathaoireacha rothaí.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8D736" w14:textId="6BF1721B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color w:val="000000"/>
                <w:lang w:val="ga"/>
              </w:rPr>
              <w:t>€250</w:t>
            </w:r>
          </w:p>
        </w:tc>
      </w:tr>
      <w:tr w:rsidR="000D4809" w:rsidRPr="00C53939" w14:paraId="683C721C" w14:textId="77777777" w:rsidTr="000D4809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06B" w14:textId="77777777" w:rsidR="000D4809" w:rsidRPr="00C53939" w:rsidRDefault="000D4809" w:rsidP="000D4809">
            <w:pPr>
              <w:pStyle w:val="MFSchLev1"/>
              <w:keepNext w:val="0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D27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2A3" w14:textId="2411380E" w:rsidR="000D4809" w:rsidRPr="00C53939" w:rsidRDefault="000D4809" w:rsidP="00B319A2">
            <w:pPr>
              <w:pStyle w:val="MFSchLev1"/>
              <w:keepNext w:val="0"/>
              <w:numPr>
                <w:ilvl w:val="0"/>
                <w:numId w:val="0"/>
              </w:numPr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lang w:val="ga"/>
              </w:rPr>
              <w:t>Rialachán 38(5)(d) de na Rialacháin seo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5924" w14:textId="43A026CF" w:rsidR="000D4809" w:rsidRPr="00C53939" w:rsidRDefault="000D4809" w:rsidP="00B319A2">
            <w:pPr>
              <w:spacing w:line="276" w:lineRule="auto"/>
              <w:rPr>
                <w:rFonts w:cs="Tahoma"/>
              </w:rPr>
            </w:pPr>
            <w:r>
              <w:rPr>
                <w:rFonts w:cs="Tahoma"/>
                <w:lang w:val="ga"/>
              </w:rPr>
              <w:t>Diúltú ag an tiománaí paisinéir atá ar chathaoir rothaí a iompar.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92B8" w14:textId="0392BDB6" w:rsidR="000D4809" w:rsidRPr="00D64F67" w:rsidRDefault="000D4809" w:rsidP="000D4809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lang w:val="ga"/>
              </w:rPr>
              <w:t>€250</w:t>
            </w:r>
          </w:p>
        </w:tc>
      </w:tr>
    </w:tbl>
    <w:p w14:paraId="71F29122" w14:textId="4FEA741D" w:rsidR="00444841" w:rsidRPr="00C53939" w:rsidRDefault="00444841" w:rsidP="003E7FE4">
      <w:pPr>
        <w:spacing w:line="360" w:lineRule="auto"/>
        <w:jc w:val="right"/>
        <w:rPr>
          <w:rFonts w:cs="Tahoma"/>
        </w:rPr>
      </w:pPr>
    </w:p>
    <w:p w14:paraId="01B6B3F3" w14:textId="77777777" w:rsidR="00444841" w:rsidRPr="00C53939" w:rsidRDefault="005A09AD" w:rsidP="00597A03">
      <w:r>
        <w:rPr>
          <w:lang w:val="ga"/>
        </w:rPr>
        <w:t xml:space="preserve">Leasaítear Rialachán 7(3)(a) de na Príomh-Rialacháin trí “suas go” a chur isteach roimh “cúig bliana”. </w:t>
      </w:r>
    </w:p>
    <w:p w14:paraId="3FF99CF2" w14:textId="77777777" w:rsidR="00597A03" w:rsidRDefault="00597A03" w:rsidP="00597A03"/>
    <w:p w14:paraId="592228A6" w14:textId="5634BB13" w:rsidR="00444841" w:rsidRPr="00C53939" w:rsidRDefault="00B319A2" w:rsidP="00597A03">
      <w:r>
        <w:rPr>
          <w:lang w:val="ga"/>
        </w:rPr>
        <w:t>Nóta Míniúcháin</w:t>
      </w:r>
    </w:p>
    <w:p w14:paraId="1E127EBB" w14:textId="77777777" w:rsidR="00444841" w:rsidRPr="00C53939" w:rsidRDefault="00444841" w:rsidP="00597A03">
      <w:r>
        <w:rPr>
          <w:lang w:val="ga"/>
        </w:rPr>
        <w:t>(Ní cuid den Ionstraim an nóta seo ná ní ceart a mheas gur míniú dlíthiúil uirthi é.)</w:t>
      </w:r>
    </w:p>
    <w:p w14:paraId="46947E36" w14:textId="77777777" w:rsidR="00973E97" w:rsidRPr="00C53939" w:rsidRDefault="00444841" w:rsidP="00597A03">
      <w:r>
        <w:rPr>
          <w:lang w:val="ga"/>
        </w:rPr>
        <w:t>Is é cuspóir na Rialachán um Beagfheithiclí Seirbhíse Poiblí (Cionta Íocaíochta Seasta agus Tréimhse Ceadúnais Tiománaí), [•], Sceideal 8 a ghabhann leis na Rialacháin um Rialáil Tacsaithe (Beagfheithicil Seirbhíse Poiblí), 2015 (I.R. Uimh. 33 de 2015), a leasú i ndáil leis na méideanna forordaithe i leith cionta íocaíochta seasta agus méid forordaithe a chur leis i leith cionta i ndáil le diúltú míréasúnach seirbhísí a sholáthar do phaisinéir atá ina shuí nó ina suí ar a chathaoir rothaí nó a cathaoir rothaí, i dteannta tréimhse bhailíochta an cheadúnais tiománaí beagfheithicle seirbhíse poiblí a leasú.</w:t>
      </w:r>
    </w:p>
    <w:p w14:paraId="49BAB2E3" w14:textId="77777777" w:rsidR="003E7FE4" w:rsidRPr="00C53939" w:rsidRDefault="003E7FE4" w:rsidP="003E7FE4">
      <w:pPr>
        <w:spacing w:line="360" w:lineRule="auto"/>
        <w:jc w:val="both"/>
        <w:rPr>
          <w:rFonts w:cs="Tahoma"/>
        </w:rPr>
      </w:pPr>
    </w:p>
    <w:p w14:paraId="1A6D7D11" w14:textId="77777777" w:rsidR="00924906" w:rsidRPr="00C53939" w:rsidRDefault="00924906" w:rsidP="00513526">
      <w:pPr>
        <w:spacing w:line="360" w:lineRule="auto"/>
        <w:jc w:val="both"/>
        <w:rPr>
          <w:rFonts w:cs="Tahoma"/>
          <w:bCs/>
          <w:strike/>
        </w:rPr>
      </w:pPr>
    </w:p>
    <w:sectPr w:rsidR="00924906" w:rsidRPr="00C53939" w:rsidSect="00403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ADE4A" w14:textId="77777777" w:rsidR="005079A3" w:rsidRDefault="005079A3">
      <w:r>
        <w:separator/>
      </w:r>
    </w:p>
  </w:endnote>
  <w:endnote w:type="continuationSeparator" w:id="0">
    <w:p w14:paraId="4515450E" w14:textId="77777777" w:rsidR="005079A3" w:rsidRDefault="0050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8FF2" w14:textId="77777777" w:rsidR="00B03FD3" w:rsidRDefault="00B03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F7C0" w14:textId="431FEAD9" w:rsidR="00C53939" w:rsidRPr="00C53939" w:rsidRDefault="00B319A2" w:rsidP="00C53939">
    <w:pPr>
      <w:pStyle w:val="Header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  <w:lang w:val="ga"/>
      </w:rPr>
      <w:t>Na Rialacháin um Beagfheithiclí Seirbhíse Poiblí (Cionta Íocaíochta Seasta agus Tréimhse Ceadúnais Tiománaí) _</w:t>
    </w:r>
    <w:r>
      <w:rPr>
        <w:rFonts w:cs="Tahoma"/>
        <w:color w:val="FF0000"/>
        <w:sz w:val="18"/>
        <w:szCs w:val="18"/>
        <w:lang w:val="ga"/>
      </w:rPr>
      <w:t xml:space="preserve">Dréacht </w:t>
    </w:r>
    <w:r>
      <w:rPr>
        <w:rFonts w:cs="Tahoma"/>
        <w:sz w:val="18"/>
        <w:szCs w:val="18"/>
        <w:lang w:val="ga"/>
      </w:rPr>
      <w:t>- Formáid Inrochtana</w:t>
    </w:r>
  </w:p>
  <w:p w14:paraId="1BA45A53" w14:textId="36801436" w:rsidR="00C53939" w:rsidRDefault="00C53939">
    <w:pPr>
      <w:pStyle w:val="Footer"/>
    </w:pPr>
  </w:p>
  <w:p w14:paraId="5586FB18" w14:textId="69FFF69A" w:rsidR="007C2E37" w:rsidRDefault="007C2E3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B919" w14:textId="77777777" w:rsidR="00B03FD3" w:rsidRDefault="00B03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F412A" w14:textId="77777777" w:rsidR="005079A3" w:rsidRDefault="005079A3">
      <w:r>
        <w:separator/>
      </w:r>
    </w:p>
  </w:footnote>
  <w:footnote w:type="continuationSeparator" w:id="0">
    <w:p w14:paraId="2D8CEAA0" w14:textId="77777777" w:rsidR="005079A3" w:rsidRDefault="0050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BE9BE" w14:textId="77777777" w:rsidR="00B03FD3" w:rsidRDefault="00B0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7D62" w14:textId="46FCD192" w:rsidR="007C2E37" w:rsidRPr="00F376CF" w:rsidRDefault="00B03FD3" w:rsidP="00F376CF">
    <w:pPr>
      <w:pStyle w:val="Header"/>
      <w:jc w:val="center"/>
      <w:rPr>
        <w:rFonts w:asciiTheme="minorHAnsi" w:hAnsiTheme="minorHAnsi"/>
        <w:sz w:val="18"/>
        <w:szCs w:val="16"/>
      </w:rPr>
    </w:pPr>
    <w:sdt>
      <w:sdtPr>
        <w:rPr>
          <w:rFonts w:asciiTheme="minorHAnsi" w:hAnsiTheme="minorHAnsi"/>
          <w:sz w:val="18"/>
          <w:szCs w:val="16"/>
        </w:rPr>
        <w:id w:val="1628040849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/>
            <w:noProof/>
            <w:sz w:val="18"/>
            <w:szCs w:val="16"/>
            <w:lang w:val="ga"/>
          </w:rPr>
          <w:pict w14:anchorId="3D0FD8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ÉACHT"/>
              <w10:wrap anchorx="margin" anchory="margin"/>
            </v:shape>
          </w:pict>
        </w:r>
      </w:sdtContent>
    </w:sdt>
    <w:r w:rsidR="000A7C42">
      <w:rPr>
        <w:rFonts w:asciiTheme="minorHAnsi" w:hAnsiTheme="minorHAnsi"/>
        <w:sz w:val="28"/>
        <w:lang w:val="ga"/>
      </w:rPr>
      <w:t xml:space="preserve"> </w:t>
    </w:r>
    <w:bookmarkStart w:id="0" w:name="_GoBack"/>
    <w:r w:rsidR="000A7C42">
      <w:rPr>
        <w:rFonts w:asciiTheme="minorHAnsi" w:hAnsiTheme="minorHAnsi"/>
        <w:sz w:val="18"/>
        <w:szCs w:val="16"/>
        <w:lang w:val="ga"/>
      </w:rPr>
      <w:t>Na Rialacháin um Beagfheithiclí Seirbhíse Poiblí (Cionta Íocaíochta Seasta agus Tréimhse Ceadúnais Tiománaí) _</w:t>
    </w:r>
    <w:r w:rsidR="000A7C42">
      <w:rPr>
        <w:rFonts w:asciiTheme="minorHAnsi" w:hAnsiTheme="minorHAnsi"/>
        <w:color w:val="FF0000"/>
        <w:sz w:val="18"/>
        <w:szCs w:val="16"/>
        <w:lang w:val="ga"/>
      </w:rPr>
      <w:t>Dréacht</w:t>
    </w:r>
  </w:p>
  <w:bookmarkEnd w:id="0"/>
  <w:p w14:paraId="16CAD3F3" w14:textId="77777777" w:rsidR="007C2E37" w:rsidRDefault="007C2E3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620ED" w14:textId="77777777" w:rsidR="00B03FD3" w:rsidRDefault="00B03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F99"/>
    <w:multiLevelType w:val="hybridMultilevel"/>
    <w:tmpl w:val="26DAF5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78AF"/>
    <w:multiLevelType w:val="hybridMultilevel"/>
    <w:tmpl w:val="E640ADD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5E87"/>
    <w:multiLevelType w:val="multilevel"/>
    <w:tmpl w:val="378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B0DF0"/>
    <w:multiLevelType w:val="hybridMultilevel"/>
    <w:tmpl w:val="E370C95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4653"/>
    <w:multiLevelType w:val="hybridMultilevel"/>
    <w:tmpl w:val="4942EEE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21449"/>
    <w:multiLevelType w:val="hybridMultilevel"/>
    <w:tmpl w:val="C706BA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4DC1"/>
    <w:multiLevelType w:val="hybridMultilevel"/>
    <w:tmpl w:val="002283EA"/>
    <w:lvl w:ilvl="0" w:tplc="B15A5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D0131"/>
    <w:multiLevelType w:val="hybridMultilevel"/>
    <w:tmpl w:val="BE7E7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2223E"/>
    <w:multiLevelType w:val="hybridMultilevel"/>
    <w:tmpl w:val="A2D06E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83B75"/>
    <w:multiLevelType w:val="hybridMultilevel"/>
    <w:tmpl w:val="5DCCF5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6BB9"/>
    <w:multiLevelType w:val="hybridMultilevel"/>
    <w:tmpl w:val="AFE8F286"/>
    <w:lvl w:ilvl="0" w:tplc="EC90CD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622A1"/>
    <w:multiLevelType w:val="hybridMultilevel"/>
    <w:tmpl w:val="704A2E2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046C9D"/>
    <w:multiLevelType w:val="hybridMultilevel"/>
    <w:tmpl w:val="8FFE7E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5D74"/>
    <w:multiLevelType w:val="hybridMultilevel"/>
    <w:tmpl w:val="267E05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12059"/>
    <w:multiLevelType w:val="hybridMultilevel"/>
    <w:tmpl w:val="791A6FB6"/>
    <w:lvl w:ilvl="0" w:tplc="EF68F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C6BCF"/>
    <w:multiLevelType w:val="hybridMultilevel"/>
    <w:tmpl w:val="D806E5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7DD5"/>
    <w:multiLevelType w:val="hybridMultilevel"/>
    <w:tmpl w:val="DD78DF06"/>
    <w:lvl w:ilvl="0" w:tplc="F9A4C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14EF3"/>
    <w:multiLevelType w:val="hybridMultilevel"/>
    <w:tmpl w:val="0BF4FB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4107D"/>
    <w:multiLevelType w:val="multilevel"/>
    <w:tmpl w:val="0466FF98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SchLev3"/>
      <w:lvlText w:val="(%3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lowerRoman"/>
      <w:pStyle w:val="MFSch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Sch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Sch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195CE7"/>
    <w:multiLevelType w:val="hybridMultilevel"/>
    <w:tmpl w:val="249866A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6333"/>
    <w:multiLevelType w:val="hybridMultilevel"/>
    <w:tmpl w:val="DE1C7F9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2187A"/>
    <w:multiLevelType w:val="hybridMultilevel"/>
    <w:tmpl w:val="704A2E2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887F2D"/>
    <w:multiLevelType w:val="hybridMultilevel"/>
    <w:tmpl w:val="8D9C1856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 w15:restartNumberingAfterBreak="0">
    <w:nsid w:val="4F8B4F1B"/>
    <w:multiLevelType w:val="hybridMultilevel"/>
    <w:tmpl w:val="FD94C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A553E"/>
    <w:multiLevelType w:val="hybridMultilevel"/>
    <w:tmpl w:val="237470EE"/>
    <w:lvl w:ilvl="0" w:tplc="8B4457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A1D51"/>
    <w:multiLevelType w:val="hybridMultilevel"/>
    <w:tmpl w:val="4C0009DC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A71E9A7C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675539"/>
    <w:multiLevelType w:val="hybridMultilevel"/>
    <w:tmpl w:val="7F4E5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65B56"/>
    <w:multiLevelType w:val="hybridMultilevel"/>
    <w:tmpl w:val="4EA8FD18"/>
    <w:lvl w:ilvl="0" w:tplc="F9A4C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75223"/>
    <w:multiLevelType w:val="hybridMultilevel"/>
    <w:tmpl w:val="704A2E2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5C4BF0"/>
    <w:multiLevelType w:val="hybridMultilevel"/>
    <w:tmpl w:val="704A2E2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2B3141"/>
    <w:multiLevelType w:val="hybridMultilevel"/>
    <w:tmpl w:val="AC3C1B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E52EF"/>
    <w:multiLevelType w:val="hybridMultilevel"/>
    <w:tmpl w:val="0B946A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E1F07"/>
    <w:multiLevelType w:val="hybridMultilevel"/>
    <w:tmpl w:val="32B6DB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4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5"/>
  </w:num>
  <w:num w:numId="9">
    <w:abstractNumId w:val="32"/>
  </w:num>
  <w:num w:numId="10">
    <w:abstractNumId w:val="4"/>
  </w:num>
  <w:num w:numId="11">
    <w:abstractNumId w:val="17"/>
  </w:num>
  <w:num w:numId="12">
    <w:abstractNumId w:val="7"/>
  </w:num>
  <w:num w:numId="13">
    <w:abstractNumId w:val="19"/>
  </w:num>
  <w:num w:numId="14">
    <w:abstractNumId w:val="23"/>
  </w:num>
  <w:num w:numId="15">
    <w:abstractNumId w:val="12"/>
  </w:num>
  <w:num w:numId="16">
    <w:abstractNumId w:val="15"/>
  </w:num>
  <w:num w:numId="17">
    <w:abstractNumId w:val="30"/>
  </w:num>
  <w:num w:numId="18">
    <w:abstractNumId w:val="8"/>
  </w:num>
  <w:num w:numId="19">
    <w:abstractNumId w:val="2"/>
  </w:num>
  <w:num w:numId="20">
    <w:abstractNumId w:val="1"/>
  </w:num>
  <w:num w:numId="21">
    <w:abstractNumId w:val="31"/>
  </w:num>
  <w:num w:numId="22">
    <w:abstractNumId w:val="26"/>
  </w:num>
  <w:num w:numId="23">
    <w:abstractNumId w:val="11"/>
  </w:num>
  <w:num w:numId="24">
    <w:abstractNumId w:val="10"/>
  </w:num>
  <w:num w:numId="25">
    <w:abstractNumId w:val="25"/>
  </w:num>
  <w:num w:numId="26">
    <w:abstractNumId w:val="28"/>
  </w:num>
  <w:num w:numId="27">
    <w:abstractNumId w:val="21"/>
  </w:num>
  <w:num w:numId="28">
    <w:abstractNumId w:val="20"/>
  </w:num>
  <w:num w:numId="29">
    <w:abstractNumId w:val="3"/>
  </w:num>
  <w:num w:numId="30">
    <w:abstractNumId w:val="27"/>
  </w:num>
  <w:num w:numId="31">
    <w:abstractNumId w:val="29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2E61876-08E6-4B25-9F2D-A3F81BAC1D2D}"/>
    <w:docVar w:name="dgnword-eventsink" w:val="414330760"/>
  </w:docVars>
  <w:rsids>
    <w:rsidRoot w:val="00C06466"/>
    <w:rsid w:val="00001656"/>
    <w:rsid w:val="000072B7"/>
    <w:rsid w:val="0003197A"/>
    <w:rsid w:val="00033EEE"/>
    <w:rsid w:val="00041766"/>
    <w:rsid w:val="000433E7"/>
    <w:rsid w:val="0004395B"/>
    <w:rsid w:val="00045731"/>
    <w:rsid w:val="00051616"/>
    <w:rsid w:val="00052F70"/>
    <w:rsid w:val="00066256"/>
    <w:rsid w:val="00070CB5"/>
    <w:rsid w:val="000712C3"/>
    <w:rsid w:val="000715F9"/>
    <w:rsid w:val="000739EB"/>
    <w:rsid w:val="00082080"/>
    <w:rsid w:val="00086350"/>
    <w:rsid w:val="00096A5A"/>
    <w:rsid w:val="000A234A"/>
    <w:rsid w:val="000A408D"/>
    <w:rsid w:val="000A7C42"/>
    <w:rsid w:val="000B002B"/>
    <w:rsid w:val="000B13EE"/>
    <w:rsid w:val="000C4B08"/>
    <w:rsid w:val="000D4809"/>
    <w:rsid w:val="000E16E5"/>
    <w:rsid w:val="000E4D3B"/>
    <w:rsid w:val="000F0073"/>
    <w:rsid w:val="000F2C12"/>
    <w:rsid w:val="00101E7E"/>
    <w:rsid w:val="00101ECF"/>
    <w:rsid w:val="001066F1"/>
    <w:rsid w:val="0011073D"/>
    <w:rsid w:val="001167FC"/>
    <w:rsid w:val="00130021"/>
    <w:rsid w:val="00133ECC"/>
    <w:rsid w:val="00141578"/>
    <w:rsid w:val="00142148"/>
    <w:rsid w:val="00155FF7"/>
    <w:rsid w:val="001563A5"/>
    <w:rsid w:val="0015673F"/>
    <w:rsid w:val="00163930"/>
    <w:rsid w:val="00164910"/>
    <w:rsid w:val="0016624F"/>
    <w:rsid w:val="00166493"/>
    <w:rsid w:val="001734B3"/>
    <w:rsid w:val="0017419E"/>
    <w:rsid w:val="00177D35"/>
    <w:rsid w:val="0018207A"/>
    <w:rsid w:val="00182334"/>
    <w:rsid w:val="00185C2F"/>
    <w:rsid w:val="00191F6D"/>
    <w:rsid w:val="001A2F64"/>
    <w:rsid w:val="001A6E03"/>
    <w:rsid w:val="001B2579"/>
    <w:rsid w:val="001B72A5"/>
    <w:rsid w:val="001C2B6B"/>
    <w:rsid w:val="001C6A6A"/>
    <w:rsid w:val="001D1822"/>
    <w:rsid w:val="001D1C09"/>
    <w:rsid w:val="001D58CC"/>
    <w:rsid w:val="001E03E0"/>
    <w:rsid w:val="001E4A54"/>
    <w:rsid w:val="001E68DA"/>
    <w:rsid w:val="001F5E1D"/>
    <w:rsid w:val="001F631D"/>
    <w:rsid w:val="00201D71"/>
    <w:rsid w:val="00205286"/>
    <w:rsid w:val="002063F8"/>
    <w:rsid w:val="00210896"/>
    <w:rsid w:val="0021506D"/>
    <w:rsid w:val="002236BA"/>
    <w:rsid w:val="002241C6"/>
    <w:rsid w:val="00224617"/>
    <w:rsid w:val="00231465"/>
    <w:rsid w:val="00231781"/>
    <w:rsid w:val="002448B1"/>
    <w:rsid w:val="00254C70"/>
    <w:rsid w:val="00256414"/>
    <w:rsid w:val="0026612C"/>
    <w:rsid w:val="0026693B"/>
    <w:rsid w:val="002674ED"/>
    <w:rsid w:val="002700B2"/>
    <w:rsid w:val="00271485"/>
    <w:rsid w:val="00277DB4"/>
    <w:rsid w:val="00280D0C"/>
    <w:rsid w:val="00283B5F"/>
    <w:rsid w:val="00290370"/>
    <w:rsid w:val="00293DCB"/>
    <w:rsid w:val="00296DC9"/>
    <w:rsid w:val="002A56DC"/>
    <w:rsid w:val="002C2007"/>
    <w:rsid w:val="002C2E34"/>
    <w:rsid w:val="002C3075"/>
    <w:rsid w:val="002C3EE7"/>
    <w:rsid w:val="002C3F32"/>
    <w:rsid w:val="002C48E9"/>
    <w:rsid w:val="002E6E7A"/>
    <w:rsid w:val="002F044F"/>
    <w:rsid w:val="002F09BA"/>
    <w:rsid w:val="002F7FD3"/>
    <w:rsid w:val="0030110F"/>
    <w:rsid w:val="0032005F"/>
    <w:rsid w:val="00321C1B"/>
    <w:rsid w:val="00323B08"/>
    <w:rsid w:val="003276C3"/>
    <w:rsid w:val="00331FA5"/>
    <w:rsid w:val="00335AB4"/>
    <w:rsid w:val="003430F3"/>
    <w:rsid w:val="00343867"/>
    <w:rsid w:val="003449CB"/>
    <w:rsid w:val="00362CEF"/>
    <w:rsid w:val="003634E6"/>
    <w:rsid w:val="00363AB0"/>
    <w:rsid w:val="003765E3"/>
    <w:rsid w:val="00383D41"/>
    <w:rsid w:val="00390CCA"/>
    <w:rsid w:val="00393EBE"/>
    <w:rsid w:val="00394429"/>
    <w:rsid w:val="003A08AC"/>
    <w:rsid w:val="003A3638"/>
    <w:rsid w:val="003B120C"/>
    <w:rsid w:val="003D03E0"/>
    <w:rsid w:val="003D63A5"/>
    <w:rsid w:val="003E2BF6"/>
    <w:rsid w:val="003E7FE4"/>
    <w:rsid w:val="003F03C0"/>
    <w:rsid w:val="003F1464"/>
    <w:rsid w:val="003F23B3"/>
    <w:rsid w:val="003F705E"/>
    <w:rsid w:val="00403C6B"/>
    <w:rsid w:val="00417523"/>
    <w:rsid w:val="00417941"/>
    <w:rsid w:val="00427A17"/>
    <w:rsid w:val="004338C6"/>
    <w:rsid w:val="00435F1A"/>
    <w:rsid w:val="004414E3"/>
    <w:rsid w:val="00442BCF"/>
    <w:rsid w:val="00444841"/>
    <w:rsid w:val="00446133"/>
    <w:rsid w:val="00450525"/>
    <w:rsid w:val="00450FA9"/>
    <w:rsid w:val="00453E6D"/>
    <w:rsid w:val="004631A9"/>
    <w:rsid w:val="00463590"/>
    <w:rsid w:val="004762F8"/>
    <w:rsid w:val="00484CEB"/>
    <w:rsid w:val="004918BB"/>
    <w:rsid w:val="00493BA1"/>
    <w:rsid w:val="004A203D"/>
    <w:rsid w:val="004A6761"/>
    <w:rsid w:val="004B3CA0"/>
    <w:rsid w:val="004B7B78"/>
    <w:rsid w:val="004C2E7C"/>
    <w:rsid w:val="004C3CAD"/>
    <w:rsid w:val="004C7FE3"/>
    <w:rsid w:val="004D380C"/>
    <w:rsid w:val="004E0504"/>
    <w:rsid w:val="004E1E28"/>
    <w:rsid w:val="004E62EB"/>
    <w:rsid w:val="00501DFF"/>
    <w:rsid w:val="00505614"/>
    <w:rsid w:val="005079A3"/>
    <w:rsid w:val="00513526"/>
    <w:rsid w:val="00516BC3"/>
    <w:rsid w:val="00520132"/>
    <w:rsid w:val="00523CA9"/>
    <w:rsid w:val="00523F2E"/>
    <w:rsid w:val="00534E34"/>
    <w:rsid w:val="005351B6"/>
    <w:rsid w:val="00552FE5"/>
    <w:rsid w:val="0055556D"/>
    <w:rsid w:val="00556260"/>
    <w:rsid w:val="005632BB"/>
    <w:rsid w:val="0056443D"/>
    <w:rsid w:val="005702B7"/>
    <w:rsid w:val="00570BD9"/>
    <w:rsid w:val="00571872"/>
    <w:rsid w:val="00585EF5"/>
    <w:rsid w:val="00594220"/>
    <w:rsid w:val="00597A03"/>
    <w:rsid w:val="005A09AD"/>
    <w:rsid w:val="005A55B4"/>
    <w:rsid w:val="005B2102"/>
    <w:rsid w:val="005B4B78"/>
    <w:rsid w:val="005B4BB7"/>
    <w:rsid w:val="005B650B"/>
    <w:rsid w:val="005B7067"/>
    <w:rsid w:val="005B746B"/>
    <w:rsid w:val="005C1396"/>
    <w:rsid w:val="005C1558"/>
    <w:rsid w:val="005C2455"/>
    <w:rsid w:val="005C5D91"/>
    <w:rsid w:val="005D10B4"/>
    <w:rsid w:val="005D15B1"/>
    <w:rsid w:val="005D3818"/>
    <w:rsid w:val="005D5D01"/>
    <w:rsid w:val="005D7981"/>
    <w:rsid w:val="005D7ED7"/>
    <w:rsid w:val="005E4C6F"/>
    <w:rsid w:val="005F36FC"/>
    <w:rsid w:val="0060016D"/>
    <w:rsid w:val="00603FC0"/>
    <w:rsid w:val="00613FB1"/>
    <w:rsid w:val="00625605"/>
    <w:rsid w:val="00633DFB"/>
    <w:rsid w:val="00634772"/>
    <w:rsid w:val="00636735"/>
    <w:rsid w:val="00646400"/>
    <w:rsid w:val="00650674"/>
    <w:rsid w:val="006519ED"/>
    <w:rsid w:val="00657E71"/>
    <w:rsid w:val="00661A0C"/>
    <w:rsid w:val="006804ED"/>
    <w:rsid w:val="00687607"/>
    <w:rsid w:val="00687875"/>
    <w:rsid w:val="0069241C"/>
    <w:rsid w:val="006A4FFD"/>
    <w:rsid w:val="006A6525"/>
    <w:rsid w:val="006B1157"/>
    <w:rsid w:val="006B6118"/>
    <w:rsid w:val="006B6F71"/>
    <w:rsid w:val="006C3E8A"/>
    <w:rsid w:val="006D5A0E"/>
    <w:rsid w:val="006E00B8"/>
    <w:rsid w:val="006E36FF"/>
    <w:rsid w:val="006E5F0F"/>
    <w:rsid w:val="006F01F5"/>
    <w:rsid w:val="006F554F"/>
    <w:rsid w:val="00711093"/>
    <w:rsid w:val="00713A22"/>
    <w:rsid w:val="00715C3B"/>
    <w:rsid w:val="00731455"/>
    <w:rsid w:val="007346AA"/>
    <w:rsid w:val="007357F0"/>
    <w:rsid w:val="00736A76"/>
    <w:rsid w:val="00737836"/>
    <w:rsid w:val="0074252A"/>
    <w:rsid w:val="007467A3"/>
    <w:rsid w:val="007505FD"/>
    <w:rsid w:val="00750A6F"/>
    <w:rsid w:val="007512CE"/>
    <w:rsid w:val="00761B3A"/>
    <w:rsid w:val="00765049"/>
    <w:rsid w:val="007754A9"/>
    <w:rsid w:val="00785429"/>
    <w:rsid w:val="007915E0"/>
    <w:rsid w:val="00794420"/>
    <w:rsid w:val="007962FF"/>
    <w:rsid w:val="007B0B3F"/>
    <w:rsid w:val="007B5A34"/>
    <w:rsid w:val="007B5AC6"/>
    <w:rsid w:val="007B6391"/>
    <w:rsid w:val="007B6435"/>
    <w:rsid w:val="007B69F9"/>
    <w:rsid w:val="007C2E37"/>
    <w:rsid w:val="007C3382"/>
    <w:rsid w:val="007C5AB4"/>
    <w:rsid w:val="007C5F0F"/>
    <w:rsid w:val="007C7741"/>
    <w:rsid w:val="007E2D16"/>
    <w:rsid w:val="007E3DCD"/>
    <w:rsid w:val="007F012B"/>
    <w:rsid w:val="007F0C4A"/>
    <w:rsid w:val="007F1FE3"/>
    <w:rsid w:val="008168A2"/>
    <w:rsid w:val="0082137E"/>
    <w:rsid w:val="008301B9"/>
    <w:rsid w:val="00831217"/>
    <w:rsid w:val="00833895"/>
    <w:rsid w:val="00843D98"/>
    <w:rsid w:val="008669C5"/>
    <w:rsid w:val="008B4493"/>
    <w:rsid w:val="008B4C94"/>
    <w:rsid w:val="008B6735"/>
    <w:rsid w:val="008B766D"/>
    <w:rsid w:val="008C0A3D"/>
    <w:rsid w:val="008C1E9E"/>
    <w:rsid w:val="008C2081"/>
    <w:rsid w:val="008C3B85"/>
    <w:rsid w:val="008C60B0"/>
    <w:rsid w:val="008C6C32"/>
    <w:rsid w:val="008C756E"/>
    <w:rsid w:val="008C792B"/>
    <w:rsid w:val="008D1955"/>
    <w:rsid w:val="008D35F9"/>
    <w:rsid w:val="008D467E"/>
    <w:rsid w:val="008F20A7"/>
    <w:rsid w:val="008F4E21"/>
    <w:rsid w:val="00900A9C"/>
    <w:rsid w:val="00902348"/>
    <w:rsid w:val="00906D19"/>
    <w:rsid w:val="00924906"/>
    <w:rsid w:val="00924B64"/>
    <w:rsid w:val="00926C9E"/>
    <w:rsid w:val="00934B87"/>
    <w:rsid w:val="009362D2"/>
    <w:rsid w:val="00937C9D"/>
    <w:rsid w:val="00940D3D"/>
    <w:rsid w:val="00943585"/>
    <w:rsid w:val="00944618"/>
    <w:rsid w:val="00945DDB"/>
    <w:rsid w:val="00946768"/>
    <w:rsid w:val="00947192"/>
    <w:rsid w:val="00953A2A"/>
    <w:rsid w:val="009634D8"/>
    <w:rsid w:val="00966BA3"/>
    <w:rsid w:val="0097205E"/>
    <w:rsid w:val="00973E97"/>
    <w:rsid w:val="00985AD1"/>
    <w:rsid w:val="009944DF"/>
    <w:rsid w:val="00995CB1"/>
    <w:rsid w:val="009B0A95"/>
    <w:rsid w:val="009C1975"/>
    <w:rsid w:val="009C1C23"/>
    <w:rsid w:val="009C29B3"/>
    <w:rsid w:val="009C670C"/>
    <w:rsid w:val="009D3680"/>
    <w:rsid w:val="009D4A41"/>
    <w:rsid w:val="009D76DF"/>
    <w:rsid w:val="009E072D"/>
    <w:rsid w:val="009E218C"/>
    <w:rsid w:val="009E36C8"/>
    <w:rsid w:val="009E71E6"/>
    <w:rsid w:val="009F14AB"/>
    <w:rsid w:val="009F34EB"/>
    <w:rsid w:val="009F73E9"/>
    <w:rsid w:val="00A01952"/>
    <w:rsid w:val="00A01F26"/>
    <w:rsid w:val="00A12634"/>
    <w:rsid w:val="00A13A3D"/>
    <w:rsid w:val="00A14E0A"/>
    <w:rsid w:val="00A152EF"/>
    <w:rsid w:val="00A25258"/>
    <w:rsid w:val="00A25F68"/>
    <w:rsid w:val="00A272C8"/>
    <w:rsid w:val="00A37C1A"/>
    <w:rsid w:val="00A40E23"/>
    <w:rsid w:val="00A45FAC"/>
    <w:rsid w:val="00A500C5"/>
    <w:rsid w:val="00A50E59"/>
    <w:rsid w:val="00A53646"/>
    <w:rsid w:val="00A54AE4"/>
    <w:rsid w:val="00A63842"/>
    <w:rsid w:val="00A656F2"/>
    <w:rsid w:val="00A73814"/>
    <w:rsid w:val="00A806B7"/>
    <w:rsid w:val="00A87AFE"/>
    <w:rsid w:val="00A95408"/>
    <w:rsid w:val="00AA1181"/>
    <w:rsid w:val="00AA26A7"/>
    <w:rsid w:val="00AA2A42"/>
    <w:rsid w:val="00AC248B"/>
    <w:rsid w:val="00AD78C6"/>
    <w:rsid w:val="00AE4BD5"/>
    <w:rsid w:val="00AF2CE2"/>
    <w:rsid w:val="00AF403F"/>
    <w:rsid w:val="00B03FD3"/>
    <w:rsid w:val="00B13B11"/>
    <w:rsid w:val="00B16B7A"/>
    <w:rsid w:val="00B23C25"/>
    <w:rsid w:val="00B2423F"/>
    <w:rsid w:val="00B27D30"/>
    <w:rsid w:val="00B3151F"/>
    <w:rsid w:val="00B319A2"/>
    <w:rsid w:val="00B33479"/>
    <w:rsid w:val="00B340B6"/>
    <w:rsid w:val="00B43F36"/>
    <w:rsid w:val="00B443B3"/>
    <w:rsid w:val="00B51445"/>
    <w:rsid w:val="00B6658D"/>
    <w:rsid w:val="00B71201"/>
    <w:rsid w:val="00B7375C"/>
    <w:rsid w:val="00B769BD"/>
    <w:rsid w:val="00B8704B"/>
    <w:rsid w:val="00BA1278"/>
    <w:rsid w:val="00BB54FD"/>
    <w:rsid w:val="00BB791E"/>
    <w:rsid w:val="00BC5ECE"/>
    <w:rsid w:val="00BF0970"/>
    <w:rsid w:val="00BF0C80"/>
    <w:rsid w:val="00BF2868"/>
    <w:rsid w:val="00C04E42"/>
    <w:rsid w:val="00C055CD"/>
    <w:rsid w:val="00C06466"/>
    <w:rsid w:val="00C117BD"/>
    <w:rsid w:val="00C13B3D"/>
    <w:rsid w:val="00C329D0"/>
    <w:rsid w:val="00C44687"/>
    <w:rsid w:val="00C53939"/>
    <w:rsid w:val="00C624BB"/>
    <w:rsid w:val="00C73C93"/>
    <w:rsid w:val="00C82A9B"/>
    <w:rsid w:val="00CA1CFD"/>
    <w:rsid w:val="00CA6154"/>
    <w:rsid w:val="00CA660D"/>
    <w:rsid w:val="00CB2524"/>
    <w:rsid w:val="00CB2CF5"/>
    <w:rsid w:val="00CB73B7"/>
    <w:rsid w:val="00CD661A"/>
    <w:rsid w:val="00CD74A5"/>
    <w:rsid w:val="00CE50CF"/>
    <w:rsid w:val="00D039C4"/>
    <w:rsid w:val="00D04460"/>
    <w:rsid w:val="00D155CC"/>
    <w:rsid w:val="00D164DB"/>
    <w:rsid w:val="00D17B03"/>
    <w:rsid w:val="00D203A7"/>
    <w:rsid w:val="00D20657"/>
    <w:rsid w:val="00D2133B"/>
    <w:rsid w:val="00D22B40"/>
    <w:rsid w:val="00D22DAD"/>
    <w:rsid w:val="00D23B8B"/>
    <w:rsid w:val="00D24A69"/>
    <w:rsid w:val="00D26E61"/>
    <w:rsid w:val="00D270F4"/>
    <w:rsid w:val="00D353ED"/>
    <w:rsid w:val="00D37E3F"/>
    <w:rsid w:val="00D40336"/>
    <w:rsid w:val="00D52B2A"/>
    <w:rsid w:val="00D64F67"/>
    <w:rsid w:val="00D65B2F"/>
    <w:rsid w:val="00D70C72"/>
    <w:rsid w:val="00D773F7"/>
    <w:rsid w:val="00D851E6"/>
    <w:rsid w:val="00D94C35"/>
    <w:rsid w:val="00D95000"/>
    <w:rsid w:val="00DA0D22"/>
    <w:rsid w:val="00DA493A"/>
    <w:rsid w:val="00DB19C4"/>
    <w:rsid w:val="00DC1104"/>
    <w:rsid w:val="00DC290F"/>
    <w:rsid w:val="00DC6E8A"/>
    <w:rsid w:val="00DD55BA"/>
    <w:rsid w:val="00DE78C6"/>
    <w:rsid w:val="00DF65C2"/>
    <w:rsid w:val="00DF7AC7"/>
    <w:rsid w:val="00E00ACD"/>
    <w:rsid w:val="00E02EA2"/>
    <w:rsid w:val="00E03D00"/>
    <w:rsid w:val="00E04024"/>
    <w:rsid w:val="00E048A0"/>
    <w:rsid w:val="00E06E04"/>
    <w:rsid w:val="00E14841"/>
    <w:rsid w:val="00E22453"/>
    <w:rsid w:val="00E25CE1"/>
    <w:rsid w:val="00E266A0"/>
    <w:rsid w:val="00E43949"/>
    <w:rsid w:val="00E510BE"/>
    <w:rsid w:val="00E51DA4"/>
    <w:rsid w:val="00E61EEA"/>
    <w:rsid w:val="00E6215D"/>
    <w:rsid w:val="00E66094"/>
    <w:rsid w:val="00E66195"/>
    <w:rsid w:val="00E6655A"/>
    <w:rsid w:val="00E717FA"/>
    <w:rsid w:val="00E72B95"/>
    <w:rsid w:val="00E82BA5"/>
    <w:rsid w:val="00E83499"/>
    <w:rsid w:val="00E839A9"/>
    <w:rsid w:val="00E84E9C"/>
    <w:rsid w:val="00E87622"/>
    <w:rsid w:val="00E91F04"/>
    <w:rsid w:val="00E924EC"/>
    <w:rsid w:val="00EA2F67"/>
    <w:rsid w:val="00EA3A15"/>
    <w:rsid w:val="00EA6C00"/>
    <w:rsid w:val="00EC16E2"/>
    <w:rsid w:val="00EC4396"/>
    <w:rsid w:val="00ED0B56"/>
    <w:rsid w:val="00ED0D93"/>
    <w:rsid w:val="00ED2A4C"/>
    <w:rsid w:val="00ED5D9E"/>
    <w:rsid w:val="00ED7AD4"/>
    <w:rsid w:val="00EE0AE6"/>
    <w:rsid w:val="00EE113C"/>
    <w:rsid w:val="00EE4C3F"/>
    <w:rsid w:val="00EE4C76"/>
    <w:rsid w:val="00EE5D66"/>
    <w:rsid w:val="00EF6D40"/>
    <w:rsid w:val="00F03DE4"/>
    <w:rsid w:val="00F141B9"/>
    <w:rsid w:val="00F15BA9"/>
    <w:rsid w:val="00F170E4"/>
    <w:rsid w:val="00F21C72"/>
    <w:rsid w:val="00F22C53"/>
    <w:rsid w:val="00F2535E"/>
    <w:rsid w:val="00F376CF"/>
    <w:rsid w:val="00F426C4"/>
    <w:rsid w:val="00F44588"/>
    <w:rsid w:val="00F45565"/>
    <w:rsid w:val="00F71A49"/>
    <w:rsid w:val="00F76CE0"/>
    <w:rsid w:val="00F94678"/>
    <w:rsid w:val="00F94A26"/>
    <w:rsid w:val="00FA023B"/>
    <w:rsid w:val="00FA793A"/>
    <w:rsid w:val="00FB17E9"/>
    <w:rsid w:val="00FC2E29"/>
    <w:rsid w:val="00FD0527"/>
    <w:rsid w:val="00FD2399"/>
    <w:rsid w:val="00FE1D6E"/>
    <w:rsid w:val="00FF2568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284EB3"/>
  <w15:chartTrackingRefBased/>
  <w15:docId w15:val="{0F830A11-3E74-423C-B751-336D8B01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03"/>
    <w:pPr>
      <w:spacing w:after="240"/>
    </w:pPr>
    <w:rPr>
      <w:rFonts w:ascii="Tahoma" w:hAnsi="Tahoma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both"/>
    </w:pPr>
    <w:rPr>
      <w:i/>
      <w:iCs/>
    </w:rPr>
  </w:style>
  <w:style w:type="paragraph" w:styleId="BodyTextIndent">
    <w:name w:val="Body Text Indent"/>
    <w:basedOn w:val="Normal"/>
    <w:semiHidden/>
    <w:pPr>
      <w:ind w:left="360"/>
    </w:pPr>
    <w:rPr>
      <w:lang w:val="en-I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71201"/>
    <w:pPr>
      <w:ind w:left="510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B71201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B71201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5C2455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5C2455"/>
    <w:rPr>
      <w:i/>
      <w:iCs/>
    </w:rPr>
  </w:style>
  <w:style w:type="character" w:styleId="Strong">
    <w:name w:val="Strong"/>
    <w:uiPriority w:val="22"/>
    <w:qFormat/>
    <w:rsid w:val="00843D98"/>
    <w:rPr>
      <w:b/>
      <w:bCs/>
    </w:rPr>
  </w:style>
  <w:style w:type="paragraph" w:styleId="ListParagraph">
    <w:name w:val="List Paragraph"/>
    <w:basedOn w:val="Normal"/>
    <w:uiPriority w:val="34"/>
    <w:qFormat/>
    <w:rsid w:val="00995CB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5C5D91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CF"/>
    <w:rPr>
      <w:rFonts w:ascii="Segoe UI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A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76"/>
    <w:rPr>
      <w:b/>
      <w:bCs/>
      <w:lang w:val="en-GB" w:eastAsia="en-GB"/>
    </w:rPr>
  </w:style>
  <w:style w:type="paragraph" w:customStyle="1" w:styleId="MFSchLev1">
    <w:name w:val="MFSchLev1"/>
    <w:link w:val="MFSchLev1Char"/>
    <w:rsid w:val="00EA3A15"/>
    <w:pPr>
      <w:keepNext/>
      <w:numPr>
        <w:numId w:val="32"/>
      </w:numPr>
      <w:spacing w:after="240"/>
      <w:jc w:val="both"/>
    </w:pPr>
    <w:rPr>
      <w:rFonts w:ascii="Book Antiqua" w:hAnsi="Book Antiqua"/>
      <w:szCs w:val="24"/>
      <w:lang w:eastAsia="en-GB"/>
    </w:rPr>
  </w:style>
  <w:style w:type="paragraph" w:customStyle="1" w:styleId="MFSchLev2">
    <w:name w:val="MFSchLev2"/>
    <w:basedOn w:val="MFSchLev1"/>
    <w:rsid w:val="00EA3A15"/>
    <w:pPr>
      <w:keepNext w:val="0"/>
      <w:numPr>
        <w:ilvl w:val="1"/>
      </w:numPr>
      <w:tabs>
        <w:tab w:val="clear" w:pos="720"/>
        <w:tab w:val="num" w:pos="360"/>
        <w:tab w:val="num" w:pos="1440"/>
      </w:tabs>
      <w:ind w:left="1440" w:hanging="360"/>
    </w:pPr>
  </w:style>
  <w:style w:type="paragraph" w:customStyle="1" w:styleId="MFSchLev3">
    <w:name w:val="MFSchLev3"/>
    <w:basedOn w:val="MFSchLev2"/>
    <w:rsid w:val="00EA3A15"/>
    <w:pPr>
      <w:numPr>
        <w:ilvl w:val="2"/>
      </w:numPr>
      <w:tabs>
        <w:tab w:val="clear" w:pos="2280"/>
        <w:tab w:val="num" w:pos="360"/>
        <w:tab w:val="num" w:pos="1440"/>
        <w:tab w:val="num" w:pos="2160"/>
      </w:tabs>
      <w:ind w:left="1440" w:hanging="180"/>
    </w:pPr>
  </w:style>
  <w:style w:type="paragraph" w:customStyle="1" w:styleId="MFSchLev4">
    <w:name w:val="MFSchLev4"/>
    <w:basedOn w:val="MFSchLev2"/>
    <w:rsid w:val="00EA3A15"/>
    <w:pPr>
      <w:numPr>
        <w:ilvl w:val="3"/>
      </w:numPr>
      <w:tabs>
        <w:tab w:val="clear" w:pos="2160"/>
        <w:tab w:val="num" w:pos="360"/>
        <w:tab w:val="num" w:pos="1440"/>
        <w:tab w:val="num" w:pos="2880"/>
      </w:tabs>
      <w:ind w:left="2880" w:hanging="360"/>
    </w:pPr>
  </w:style>
  <w:style w:type="paragraph" w:customStyle="1" w:styleId="MFSchLev5">
    <w:name w:val="MFSchLev5"/>
    <w:basedOn w:val="MFSchLev2"/>
    <w:rsid w:val="00EA3A15"/>
    <w:pPr>
      <w:numPr>
        <w:ilvl w:val="4"/>
      </w:numPr>
      <w:tabs>
        <w:tab w:val="clear" w:pos="2880"/>
        <w:tab w:val="num" w:pos="360"/>
        <w:tab w:val="num" w:pos="1440"/>
        <w:tab w:val="num" w:pos="3600"/>
      </w:tabs>
      <w:ind w:left="3600" w:hanging="360"/>
    </w:pPr>
  </w:style>
  <w:style w:type="paragraph" w:customStyle="1" w:styleId="MFSchLev6">
    <w:name w:val="MFSchLev6"/>
    <w:basedOn w:val="MFSchLev2"/>
    <w:rsid w:val="00EA3A15"/>
    <w:pPr>
      <w:numPr>
        <w:ilvl w:val="5"/>
      </w:numPr>
      <w:tabs>
        <w:tab w:val="clear" w:pos="3600"/>
        <w:tab w:val="num" w:pos="360"/>
        <w:tab w:val="num" w:pos="1440"/>
        <w:tab w:val="num" w:pos="4320"/>
      </w:tabs>
      <w:ind w:left="4320" w:hanging="180"/>
    </w:pPr>
  </w:style>
  <w:style w:type="character" w:customStyle="1" w:styleId="MFSchLev1Char">
    <w:name w:val="MFSchLev1 Char"/>
    <w:link w:val="MFSchLev1"/>
    <w:rsid w:val="00EA3A15"/>
    <w:rPr>
      <w:rFonts w:ascii="Book Antiqua" w:hAnsi="Book Antiqua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53939"/>
    <w:rPr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97A03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A03"/>
    <w:rPr>
      <w:rFonts w:ascii="Tahoma" w:eastAsiaTheme="majorEastAsia" w:hAnsi="Tahoma" w:cstheme="majorBidi"/>
      <w:spacing w:val="-10"/>
      <w:kern w:val="28"/>
      <w:sz w:val="28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E0A6877CF8F48B0D1AC5D714F6E66" ma:contentTypeVersion="13" ma:contentTypeDescription="Create a new document." ma:contentTypeScope="" ma:versionID="0abe3597e97ec843782b46cd0ae1179a">
  <xsd:schema xmlns:xsd="http://www.w3.org/2001/XMLSchema" xmlns:xs="http://www.w3.org/2001/XMLSchema" xmlns:p="http://schemas.microsoft.com/office/2006/metadata/properties" xmlns:ns3="a581338b-f978-424f-a5d9-99e771b69e32" xmlns:ns4="6c9ddf0d-7a3f-449b-ba5f-1814e19d2ccc" targetNamespace="http://schemas.microsoft.com/office/2006/metadata/properties" ma:root="true" ma:fieldsID="492182ed4d0f57aacd0317f525670f6c" ns3:_="" ns4:_="">
    <xsd:import namespace="a581338b-f978-424f-a5d9-99e771b69e32"/>
    <xsd:import namespace="6c9ddf0d-7a3f-449b-ba5f-1814e19d2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1338b-f978-424f-a5d9-99e771b6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ddf0d-7a3f-449b-ba5f-1814e19d2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695794-E3F2-4632-876A-9E3E2759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1338b-f978-424f-a5d9-99e771b69e32"/>
    <ds:schemaRef ds:uri="6c9ddf0d-7a3f-449b-ba5f-1814e19d2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DE867-F000-4646-80EF-BBA3269EC3B4}">
  <ds:schemaRefs>
    <ds:schemaRef ds:uri="a581338b-f978-424f-a5d9-99e771b69e32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c9ddf0d-7a3f-449b-ba5f-1814e19d2c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37464F-8DE7-474C-B3A0-A37AEBA79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F0103-F171-4FC8-87E5-320D7DBE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SPSV (Fixed Payment Offences and Driver Licence Period) Regulations for Consultation</vt:lpstr>
    </vt:vector>
  </TitlesOfParts>
  <Company>C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SPSV (Fixed Payment Offences and Driver Licence Period) Regulations for Consultation</dc:title>
  <dc:subject/>
  <dc:creator>Diarmuid</dc:creator>
  <cp:keywords/>
  <cp:lastModifiedBy>Wayne Liggett</cp:lastModifiedBy>
  <cp:revision>2</cp:revision>
  <cp:lastPrinted>2007-06-19T15:22:00Z</cp:lastPrinted>
  <dcterms:created xsi:type="dcterms:W3CDTF">2022-08-22T08:41:00Z</dcterms:created>
  <dcterms:modified xsi:type="dcterms:W3CDTF">2022-08-22T08:41:00Z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0x010100C1CE0A6877CF8F48B0D1AC5D714F6E66</vt:lpwstr>
  </property>
</Properties>
</file>