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362E7" w14:textId="77777777" w:rsidR="0082742C" w:rsidRPr="00BB7048" w:rsidRDefault="0082742C" w:rsidP="006B1E07">
      <w:pPr>
        <w:spacing w:after="0"/>
        <w:jc w:val="both"/>
        <w:rPr>
          <w:rFonts w:cstheme="minorHAnsi"/>
          <w:b/>
          <w:u w:val="single"/>
        </w:rPr>
      </w:pPr>
    </w:p>
    <w:p w14:paraId="1945E03B" w14:textId="77777777" w:rsidR="00944B30" w:rsidRPr="00BB7048" w:rsidRDefault="00600EF8" w:rsidP="00631466">
      <w:pPr>
        <w:spacing w:after="0"/>
        <w:jc w:val="center"/>
        <w:rPr>
          <w:rFonts w:cstheme="minorHAnsi"/>
          <w:b/>
          <w:u w:val="single"/>
        </w:rPr>
      </w:pPr>
      <w:r w:rsidRPr="00BB7048">
        <w:rPr>
          <w:rFonts w:cstheme="minorHAnsi"/>
          <w:b/>
          <w:u w:val="single"/>
        </w:rPr>
        <w:t>Contingency Calculator</w:t>
      </w:r>
    </w:p>
    <w:p w14:paraId="28B806A2" w14:textId="77777777" w:rsidR="00600EF8" w:rsidRPr="00BB7048" w:rsidRDefault="00600EF8" w:rsidP="00631466">
      <w:pPr>
        <w:spacing w:after="0"/>
        <w:jc w:val="center"/>
        <w:rPr>
          <w:rFonts w:cstheme="minorHAnsi"/>
          <w:b/>
          <w:u w:val="single"/>
        </w:rPr>
      </w:pPr>
      <w:r w:rsidRPr="00BB7048">
        <w:rPr>
          <w:rFonts w:cstheme="minorHAnsi"/>
          <w:b/>
          <w:u w:val="single"/>
        </w:rPr>
        <w:t>Guidance Notes</w:t>
      </w:r>
    </w:p>
    <w:p w14:paraId="36E34E77" w14:textId="77777777" w:rsidR="00600EF8" w:rsidRPr="00BB7048" w:rsidRDefault="00600EF8" w:rsidP="006B1E07">
      <w:pPr>
        <w:spacing w:after="0"/>
        <w:jc w:val="both"/>
        <w:rPr>
          <w:rFonts w:cstheme="minorHAnsi"/>
        </w:rPr>
      </w:pPr>
    </w:p>
    <w:p w14:paraId="49460E5C" w14:textId="50C5F89D" w:rsidR="00600EF8" w:rsidRPr="00AC46C9" w:rsidRDefault="00600EF8" w:rsidP="00D02E22">
      <w:pPr>
        <w:spacing w:after="0"/>
        <w:jc w:val="both"/>
        <w:rPr>
          <w:rFonts w:cstheme="minorHAnsi"/>
        </w:rPr>
      </w:pPr>
      <w:r w:rsidRPr="00AC46C9">
        <w:rPr>
          <w:rFonts w:cstheme="minorHAnsi"/>
        </w:rPr>
        <w:t xml:space="preserve">This document provides guidance on </w:t>
      </w:r>
      <w:r w:rsidR="00BE28E5" w:rsidRPr="00AC46C9">
        <w:rPr>
          <w:rFonts w:cstheme="minorHAnsi"/>
        </w:rPr>
        <w:t xml:space="preserve">the applicability of the contingency calculator and </w:t>
      </w:r>
      <w:r w:rsidRPr="00AC46C9">
        <w:rPr>
          <w:rFonts w:cstheme="minorHAnsi"/>
        </w:rPr>
        <w:t xml:space="preserve">how to </w:t>
      </w:r>
      <w:r w:rsidR="007A6846" w:rsidRPr="00AC46C9">
        <w:rPr>
          <w:rFonts w:cstheme="minorHAnsi"/>
        </w:rPr>
        <w:t>populate</w:t>
      </w:r>
      <w:r w:rsidRPr="00AC46C9">
        <w:rPr>
          <w:rFonts w:cstheme="minorHAnsi"/>
        </w:rPr>
        <w:t xml:space="preserve"> the contingency calculator</w:t>
      </w:r>
      <w:r w:rsidR="00323256" w:rsidRPr="00AC46C9">
        <w:rPr>
          <w:rFonts w:cstheme="minorHAnsi"/>
        </w:rPr>
        <w:t xml:space="preserve">. </w:t>
      </w:r>
      <w:r w:rsidR="00D9717B" w:rsidRPr="00AC46C9">
        <w:rPr>
          <w:rFonts w:cstheme="minorHAnsi"/>
        </w:rPr>
        <w:t xml:space="preserve"> The contingency calculator is a tool to establish</w:t>
      </w:r>
      <w:r w:rsidR="00323256" w:rsidRPr="00AC46C9">
        <w:rPr>
          <w:rFonts w:cstheme="minorHAnsi"/>
        </w:rPr>
        <w:t xml:space="preserve"> a</w:t>
      </w:r>
      <w:r w:rsidRPr="00AC46C9">
        <w:rPr>
          <w:rFonts w:cstheme="minorHAnsi"/>
        </w:rPr>
        <w:t xml:space="preserve"> percentag</w:t>
      </w:r>
      <w:r w:rsidR="00BE28E5" w:rsidRPr="00AC46C9">
        <w:rPr>
          <w:rFonts w:cstheme="minorHAnsi"/>
        </w:rPr>
        <w:t xml:space="preserve">e to </w:t>
      </w:r>
      <w:r w:rsidR="00323256" w:rsidRPr="00AC46C9">
        <w:rPr>
          <w:rFonts w:cstheme="minorHAnsi"/>
        </w:rPr>
        <w:t xml:space="preserve">be applied </w:t>
      </w:r>
      <w:r w:rsidR="00A4516F" w:rsidRPr="00AC46C9">
        <w:rPr>
          <w:rFonts w:cstheme="minorHAnsi"/>
        </w:rPr>
        <w:t>to</w:t>
      </w:r>
      <w:r w:rsidR="00323256" w:rsidRPr="00AC46C9">
        <w:rPr>
          <w:rFonts w:cstheme="minorHAnsi"/>
        </w:rPr>
        <w:t xml:space="preserve"> </w:t>
      </w:r>
      <w:r w:rsidR="007A6846" w:rsidRPr="00AC46C9">
        <w:rPr>
          <w:rFonts w:cstheme="minorHAnsi"/>
        </w:rPr>
        <w:t xml:space="preserve">the </w:t>
      </w:r>
      <w:r w:rsidR="00E258C7" w:rsidRPr="00AC46C9">
        <w:rPr>
          <w:rFonts w:cstheme="minorHAnsi"/>
        </w:rPr>
        <w:t>base</w:t>
      </w:r>
      <w:r w:rsidR="00A4516F" w:rsidRPr="00AC46C9">
        <w:rPr>
          <w:rFonts w:cstheme="minorHAnsi"/>
        </w:rPr>
        <w:t xml:space="preserve"> cost</w:t>
      </w:r>
      <w:r w:rsidR="00E258C7" w:rsidRPr="00AC46C9">
        <w:rPr>
          <w:rFonts w:cstheme="minorHAnsi"/>
        </w:rPr>
        <w:t>s</w:t>
      </w:r>
      <w:r w:rsidR="00A4516F" w:rsidRPr="00AC46C9">
        <w:rPr>
          <w:rFonts w:cstheme="minorHAnsi"/>
        </w:rPr>
        <w:t xml:space="preserve"> </w:t>
      </w:r>
      <w:r w:rsidR="00E258C7" w:rsidRPr="00AC46C9">
        <w:rPr>
          <w:rFonts w:cstheme="minorHAnsi"/>
        </w:rPr>
        <w:t>to establish a contingency value for inclusion</w:t>
      </w:r>
      <w:r w:rsidR="00BE28E5" w:rsidRPr="00AC46C9">
        <w:rPr>
          <w:rFonts w:cstheme="minorHAnsi"/>
        </w:rPr>
        <w:t xml:space="preserve"> cost</w:t>
      </w:r>
      <w:r w:rsidR="00E258C7" w:rsidRPr="00AC46C9">
        <w:rPr>
          <w:rFonts w:cstheme="minorHAnsi"/>
        </w:rPr>
        <w:t xml:space="preserve"> estimate</w:t>
      </w:r>
      <w:r w:rsidR="00D02E22">
        <w:rPr>
          <w:rFonts w:cstheme="minorHAnsi"/>
        </w:rPr>
        <w:t>s</w:t>
      </w:r>
      <w:r w:rsidR="00323256" w:rsidRPr="00AC46C9">
        <w:rPr>
          <w:rFonts w:cstheme="minorHAnsi"/>
        </w:rPr>
        <w:t>.</w:t>
      </w:r>
      <w:r w:rsidR="009411E6" w:rsidRPr="00AC46C9">
        <w:rPr>
          <w:rFonts w:cstheme="minorHAnsi"/>
        </w:rPr>
        <w:t xml:space="preserve"> </w:t>
      </w:r>
    </w:p>
    <w:p w14:paraId="1FE9AED0" w14:textId="62E43688" w:rsidR="00D9717B" w:rsidRPr="00AC46C9" w:rsidRDefault="00D9717B" w:rsidP="00D02E22">
      <w:pPr>
        <w:spacing w:after="0"/>
        <w:jc w:val="both"/>
        <w:rPr>
          <w:rFonts w:cstheme="minorHAnsi"/>
        </w:rPr>
      </w:pPr>
    </w:p>
    <w:p w14:paraId="680CD87E" w14:textId="1628C07D" w:rsidR="00D9717B" w:rsidRPr="00AC46C9" w:rsidRDefault="00D9717B" w:rsidP="00D02E22">
      <w:pPr>
        <w:spacing w:after="0"/>
        <w:jc w:val="both"/>
        <w:rPr>
          <w:rFonts w:cstheme="minorHAnsi"/>
        </w:rPr>
      </w:pPr>
      <w:r w:rsidRPr="00AC46C9">
        <w:rPr>
          <w:rFonts w:cstheme="minorHAnsi"/>
        </w:rPr>
        <w:t xml:space="preserve">Contingency is an allowance to cover the costs of unknown events or circumstances that cannot and have not been </w:t>
      </w:r>
      <w:r w:rsidR="001C6BB6" w:rsidRPr="00AC46C9">
        <w:rPr>
          <w:rFonts w:cstheme="minorHAnsi"/>
        </w:rPr>
        <w:t>forecasted</w:t>
      </w:r>
      <w:r w:rsidRPr="00AC46C9">
        <w:rPr>
          <w:rFonts w:cstheme="minorHAnsi"/>
        </w:rPr>
        <w:t xml:space="preserve"> at the time the cost estimate was prepared. </w:t>
      </w:r>
    </w:p>
    <w:p w14:paraId="1FA1C52D" w14:textId="77777777" w:rsidR="00631466" w:rsidRPr="00AC46C9" w:rsidRDefault="00631466" w:rsidP="00D02E22">
      <w:pPr>
        <w:spacing w:after="0"/>
        <w:jc w:val="both"/>
        <w:rPr>
          <w:rFonts w:cstheme="minorHAnsi"/>
        </w:rPr>
      </w:pPr>
    </w:p>
    <w:p w14:paraId="1C161C74" w14:textId="77777777" w:rsidR="00631466" w:rsidRPr="00AC46C9" w:rsidRDefault="00631466" w:rsidP="00D02E22">
      <w:pPr>
        <w:spacing w:after="0"/>
        <w:jc w:val="both"/>
        <w:rPr>
          <w:rFonts w:cstheme="minorHAnsi"/>
          <w:b/>
          <w:u w:val="single"/>
        </w:rPr>
      </w:pPr>
      <w:r w:rsidRPr="00AC46C9">
        <w:rPr>
          <w:rFonts w:cstheme="minorHAnsi"/>
          <w:b/>
          <w:u w:val="single"/>
        </w:rPr>
        <w:t>Applicability</w:t>
      </w:r>
    </w:p>
    <w:p w14:paraId="174E3E19" w14:textId="594F1ECC" w:rsidR="00600EF8" w:rsidRPr="00AC46C9" w:rsidRDefault="00631466" w:rsidP="00D02E22">
      <w:pPr>
        <w:spacing w:after="0"/>
        <w:jc w:val="both"/>
        <w:rPr>
          <w:rFonts w:cstheme="minorHAnsi"/>
        </w:rPr>
      </w:pPr>
      <w:r w:rsidRPr="00AC46C9">
        <w:rPr>
          <w:rFonts w:cstheme="minorHAnsi"/>
        </w:rPr>
        <w:t>Th</w:t>
      </w:r>
      <w:r w:rsidR="0020486D" w:rsidRPr="00AC46C9">
        <w:rPr>
          <w:rFonts w:cstheme="minorHAnsi"/>
        </w:rPr>
        <w:t>e</w:t>
      </w:r>
      <w:r w:rsidRPr="00AC46C9">
        <w:rPr>
          <w:rFonts w:cstheme="minorHAnsi"/>
        </w:rPr>
        <w:t xml:space="preserve"> contingency calculator shall be</w:t>
      </w:r>
      <w:r w:rsidR="0020486D" w:rsidRPr="00AC46C9">
        <w:rPr>
          <w:rFonts w:cstheme="minorHAnsi"/>
        </w:rPr>
        <w:t xml:space="preserve"> used </w:t>
      </w:r>
      <w:r w:rsidR="001C6BB6" w:rsidRPr="00AC46C9">
        <w:rPr>
          <w:rFonts w:cstheme="minorHAnsi"/>
        </w:rPr>
        <w:t>when</w:t>
      </w:r>
      <w:r w:rsidR="0020486D" w:rsidRPr="00AC46C9">
        <w:rPr>
          <w:rFonts w:cstheme="minorHAnsi"/>
        </w:rPr>
        <w:t xml:space="preserve"> preparing cost estimates from Phase</w:t>
      </w:r>
      <w:r w:rsidR="00323256" w:rsidRPr="00AC46C9">
        <w:rPr>
          <w:rFonts w:cstheme="minorHAnsi"/>
        </w:rPr>
        <w:t>s</w:t>
      </w:r>
      <w:r w:rsidR="0020486D" w:rsidRPr="00AC46C9">
        <w:rPr>
          <w:rFonts w:cstheme="minorHAnsi"/>
        </w:rPr>
        <w:t xml:space="preserve"> </w:t>
      </w:r>
      <w:r w:rsidR="00AC46C9" w:rsidRPr="00AC46C9">
        <w:rPr>
          <w:rFonts w:cstheme="minorHAnsi"/>
        </w:rPr>
        <w:t>1</w:t>
      </w:r>
      <w:r w:rsidR="0020486D" w:rsidRPr="00AC46C9">
        <w:rPr>
          <w:rFonts w:cstheme="minorHAnsi"/>
        </w:rPr>
        <w:t xml:space="preserve"> to </w:t>
      </w:r>
      <w:r w:rsidR="00AC46C9" w:rsidRPr="00AC46C9">
        <w:rPr>
          <w:rFonts w:cstheme="minorHAnsi"/>
        </w:rPr>
        <w:t>5</w:t>
      </w:r>
      <w:r w:rsidR="0020486D" w:rsidRPr="00AC46C9">
        <w:rPr>
          <w:rFonts w:cstheme="minorHAnsi"/>
        </w:rPr>
        <w:t xml:space="preserve"> of the</w:t>
      </w:r>
      <w:r w:rsidR="00323256" w:rsidRPr="00AC46C9">
        <w:rPr>
          <w:rFonts w:cstheme="minorHAnsi"/>
        </w:rPr>
        <w:t xml:space="preserve"> NTA</w:t>
      </w:r>
      <w:r w:rsidR="0020486D" w:rsidRPr="00AC46C9">
        <w:rPr>
          <w:rFonts w:cstheme="minorHAnsi"/>
        </w:rPr>
        <w:t xml:space="preserve"> Project Life Cycle. If the NTA provides written approval, the calculator may be </w:t>
      </w:r>
      <w:r w:rsidR="00323256" w:rsidRPr="00AC46C9">
        <w:rPr>
          <w:rFonts w:cstheme="minorHAnsi"/>
        </w:rPr>
        <w:t xml:space="preserve">altered by amending works classifications, upper and lower bound contingency percentages, contributing factors, </w:t>
      </w:r>
      <w:proofErr w:type="gramStart"/>
      <w:r w:rsidR="00323256" w:rsidRPr="00AC46C9">
        <w:rPr>
          <w:rFonts w:cstheme="minorHAnsi"/>
        </w:rPr>
        <w:t>actions</w:t>
      </w:r>
      <w:proofErr w:type="gramEnd"/>
      <w:r w:rsidR="00323256" w:rsidRPr="00AC46C9">
        <w:rPr>
          <w:rFonts w:cstheme="minorHAnsi"/>
        </w:rPr>
        <w:t xml:space="preserve"> and weightings (which must have a cumulative total of 100%). </w:t>
      </w:r>
    </w:p>
    <w:p w14:paraId="2FB10226" w14:textId="77777777" w:rsidR="002334EC" w:rsidRPr="00AC46C9" w:rsidRDefault="002334EC" w:rsidP="00D02E22">
      <w:pPr>
        <w:spacing w:after="0"/>
        <w:jc w:val="both"/>
        <w:rPr>
          <w:rFonts w:cstheme="minorHAnsi"/>
        </w:rPr>
      </w:pPr>
    </w:p>
    <w:p w14:paraId="502F3A28" w14:textId="58199D7A" w:rsidR="00A4516F" w:rsidRDefault="00226EDD" w:rsidP="00D02E22">
      <w:pPr>
        <w:spacing w:after="0"/>
        <w:jc w:val="both"/>
        <w:rPr>
          <w:rFonts w:cstheme="minorHAnsi"/>
        </w:rPr>
      </w:pPr>
      <w:r w:rsidRPr="00AC46C9">
        <w:t xml:space="preserve">The contingency calculator provides a methodical, </w:t>
      </w:r>
      <w:proofErr w:type="gramStart"/>
      <w:r w:rsidRPr="00AC46C9">
        <w:t>consistent</w:t>
      </w:r>
      <w:proofErr w:type="gramEnd"/>
      <w:r w:rsidRPr="00AC46C9">
        <w:t xml:space="preserve"> and recognised approach in establishing an appropriate contingency allowance</w:t>
      </w:r>
      <w:r w:rsidR="002334EC" w:rsidRPr="00AC46C9">
        <w:t>.</w:t>
      </w:r>
      <w:r w:rsidRPr="00AC46C9">
        <w:t xml:space="preserve"> The calculator includes a forecasting methodology based on the principles of “Reference Class Costing”, with reference to previous project performance. If a project demonstrates unique characteristics or there exists a unique set of circumstances (</w:t>
      </w:r>
      <w:proofErr w:type="gramStart"/>
      <w:r w:rsidR="00E532D3" w:rsidRPr="00AC46C9">
        <w:t>e.g.</w:t>
      </w:r>
      <w:proofErr w:type="gramEnd"/>
      <w:r w:rsidRPr="00AC46C9">
        <w:t xml:space="preserve"> including but not limited to project scale, value or complexity), the requirement to use the contingency calculator may be relaxed subject to the prior written approval by the Director of Transport Planning, Investment and Taxi Regulation at the NTA. If a departure from the Cost Management Guidelines is requested, the Sponsoring Agency shall be required to justify its approach by providing alternative proposals regarding how contingency shall be calculated. </w:t>
      </w:r>
    </w:p>
    <w:p w14:paraId="02FD43DA" w14:textId="77777777" w:rsidR="00D02E22" w:rsidRPr="00AC46C9" w:rsidRDefault="00D02E22" w:rsidP="00D02E22">
      <w:pPr>
        <w:spacing w:after="0"/>
        <w:jc w:val="both"/>
        <w:rPr>
          <w:rFonts w:cstheme="minorHAnsi"/>
        </w:rPr>
      </w:pPr>
    </w:p>
    <w:p w14:paraId="3ED6E859" w14:textId="77777777" w:rsidR="00A4516F" w:rsidRPr="00AC46C9" w:rsidRDefault="007A6846" w:rsidP="00D02E22">
      <w:pPr>
        <w:spacing w:after="0"/>
        <w:rPr>
          <w:rFonts w:cstheme="minorHAnsi"/>
          <w:b/>
          <w:u w:val="single"/>
        </w:rPr>
      </w:pPr>
      <w:r w:rsidRPr="00AC46C9">
        <w:rPr>
          <w:rFonts w:cstheme="minorHAnsi"/>
          <w:b/>
          <w:u w:val="single"/>
        </w:rPr>
        <w:t>The Process</w:t>
      </w:r>
    </w:p>
    <w:p w14:paraId="559C73AD" w14:textId="37B85EF5" w:rsidR="00600EF8" w:rsidRPr="00AC46C9" w:rsidRDefault="00323256" w:rsidP="00D02E22">
      <w:pPr>
        <w:spacing w:after="0"/>
        <w:jc w:val="both"/>
        <w:rPr>
          <w:rFonts w:cstheme="minorHAnsi"/>
        </w:rPr>
      </w:pPr>
      <w:r w:rsidRPr="00AC46C9">
        <w:rPr>
          <w:rFonts w:cstheme="minorHAnsi"/>
        </w:rPr>
        <w:t>This section outlines a step-by-step approach of how to populate the contingency calculator</w:t>
      </w:r>
      <w:r w:rsidR="00172B1D" w:rsidRPr="00AC46C9">
        <w:rPr>
          <w:rFonts w:cstheme="minorHAnsi"/>
        </w:rPr>
        <w:t xml:space="preserve"> in order</w:t>
      </w:r>
      <w:r w:rsidR="002334EC" w:rsidRPr="00AC46C9">
        <w:rPr>
          <w:rFonts w:cstheme="minorHAnsi"/>
        </w:rPr>
        <w:t xml:space="preserve"> to generate a contingency percentage</w:t>
      </w:r>
      <w:r w:rsidR="00172B1D" w:rsidRPr="00AC46C9">
        <w:rPr>
          <w:rFonts w:cstheme="minorHAnsi"/>
        </w:rPr>
        <w:t xml:space="preserve"> </w:t>
      </w:r>
      <w:r w:rsidR="001C6BB6" w:rsidRPr="00AC46C9">
        <w:rPr>
          <w:rFonts w:cstheme="minorHAnsi"/>
        </w:rPr>
        <w:t xml:space="preserve">to be applied </w:t>
      </w:r>
      <w:r w:rsidR="00172B1D" w:rsidRPr="00AC46C9">
        <w:rPr>
          <w:rFonts w:cstheme="minorHAnsi"/>
        </w:rPr>
        <w:t xml:space="preserve">to base </w:t>
      </w:r>
      <w:proofErr w:type="gramStart"/>
      <w:r w:rsidR="00172B1D" w:rsidRPr="00AC46C9">
        <w:rPr>
          <w:rFonts w:cstheme="minorHAnsi"/>
        </w:rPr>
        <w:t>costs</w:t>
      </w:r>
      <w:r w:rsidRPr="00AC46C9">
        <w:rPr>
          <w:rFonts w:cstheme="minorHAnsi"/>
        </w:rPr>
        <w:t>;</w:t>
      </w:r>
      <w:proofErr w:type="gramEnd"/>
    </w:p>
    <w:p w14:paraId="6E0E896A" w14:textId="77777777" w:rsidR="00323256" w:rsidRPr="00AC46C9" w:rsidRDefault="00323256" w:rsidP="00D02E22">
      <w:pPr>
        <w:spacing w:after="0"/>
        <w:jc w:val="both"/>
        <w:rPr>
          <w:rFonts w:cstheme="minorHAnsi"/>
        </w:rPr>
      </w:pPr>
    </w:p>
    <w:p w14:paraId="3EBA91FB" w14:textId="26846A32" w:rsidR="00600EF8" w:rsidRPr="00AC46C9" w:rsidRDefault="00600EF8" w:rsidP="00D02E22">
      <w:pPr>
        <w:spacing w:after="0"/>
        <w:jc w:val="both"/>
        <w:rPr>
          <w:rFonts w:cstheme="minorHAnsi"/>
          <w:i/>
          <w:u w:val="single"/>
        </w:rPr>
      </w:pPr>
      <w:r w:rsidRPr="00AC46C9">
        <w:rPr>
          <w:rFonts w:cstheme="minorHAnsi"/>
          <w:i/>
          <w:u w:val="single"/>
        </w:rPr>
        <w:t>Step 1</w:t>
      </w:r>
      <w:r w:rsidR="0082742C" w:rsidRPr="00AC46C9">
        <w:rPr>
          <w:rFonts w:cstheme="minorHAnsi"/>
          <w:i/>
          <w:u w:val="single"/>
        </w:rPr>
        <w:t xml:space="preserve"> – Project Title</w:t>
      </w:r>
    </w:p>
    <w:p w14:paraId="167F285F" w14:textId="77777777" w:rsidR="00600EF8" w:rsidRPr="00AC46C9" w:rsidRDefault="00600EF8" w:rsidP="00D02E22">
      <w:pPr>
        <w:spacing w:after="0"/>
        <w:jc w:val="both"/>
        <w:rPr>
          <w:rFonts w:cstheme="minorHAnsi"/>
        </w:rPr>
      </w:pPr>
      <w:r w:rsidRPr="00AC46C9">
        <w:rPr>
          <w:rFonts w:cstheme="minorHAnsi"/>
        </w:rPr>
        <w:t xml:space="preserve">Enter the title of the project into the allocated cell. </w:t>
      </w:r>
    </w:p>
    <w:p w14:paraId="25B5BE7F" w14:textId="40EAD79B" w:rsidR="00226EDD" w:rsidRPr="00AC46C9" w:rsidRDefault="00226EDD" w:rsidP="00D02E22">
      <w:pPr>
        <w:spacing w:after="0"/>
        <w:jc w:val="both"/>
        <w:rPr>
          <w:rFonts w:cstheme="minorHAnsi"/>
        </w:rPr>
      </w:pPr>
    </w:p>
    <w:p w14:paraId="476AFD86" w14:textId="43B49538" w:rsidR="00AC46C9" w:rsidRPr="00AC46C9" w:rsidRDefault="00AC46C9" w:rsidP="00D02E22">
      <w:pPr>
        <w:spacing w:after="0"/>
        <w:jc w:val="both"/>
        <w:rPr>
          <w:rFonts w:cstheme="minorHAnsi"/>
          <w:i/>
          <w:u w:val="single"/>
        </w:rPr>
      </w:pPr>
      <w:r w:rsidRPr="00AC46C9">
        <w:rPr>
          <w:rFonts w:cstheme="minorHAnsi"/>
          <w:i/>
          <w:u w:val="single"/>
        </w:rPr>
        <w:t>Step 2 – Project/Contract Code</w:t>
      </w:r>
    </w:p>
    <w:p w14:paraId="0C5E2E2D" w14:textId="17E22D4C" w:rsidR="00AC46C9" w:rsidRPr="00AC46C9" w:rsidRDefault="00AC46C9" w:rsidP="00D02E22">
      <w:pPr>
        <w:spacing w:after="0"/>
        <w:jc w:val="both"/>
        <w:rPr>
          <w:rFonts w:cstheme="minorHAnsi"/>
        </w:rPr>
      </w:pPr>
      <w:r w:rsidRPr="00AC46C9">
        <w:rPr>
          <w:rFonts w:cstheme="minorHAnsi"/>
        </w:rPr>
        <w:t xml:space="preserve">Enter the project/contract code of the project into the allocated cell. </w:t>
      </w:r>
    </w:p>
    <w:p w14:paraId="665D3F21" w14:textId="77777777" w:rsidR="00AC46C9" w:rsidRPr="00AC46C9" w:rsidRDefault="00AC46C9" w:rsidP="00D02E22">
      <w:pPr>
        <w:spacing w:after="0"/>
        <w:jc w:val="both"/>
        <w:rPr>
          <w:rFonts w:cstheme="minorHAnsi"/>
        </w:rPr>
      </w:pPr>
    </w:p>
    <w:p w14:paraId="5309CB7A" w14:textId="25B47485" w:rsidR="00600EF8" w:rsidRPr="00AC46C9" w:rsidRDefault="00600EF8" w:rsidP="00D02E22">
      <w:pPr>
        <w:spacing w:after="0"/>
        <w:jc w:val="both"/>
        <w:rPr>
          <w:rFonts w:cstheme="minorHAnsi"/>
          <w:i/>
          <w:u w:val="single"/>
        </w:rPr>
      </w:pPr>
      <w:r w:rsidRPr="00AC46C9">
        <w:rPr>
          <w:rFonts w:cstheme="minorHAnsi"/>
          <w:i/>
          <w:u w:val="single"/>
        </w:rPr>
        <w:t xml:space="preserve">Step </w:t>
      </w:r>
      <w:r w:rsidR="00AC46C9" w:rsidRPr="00AC46C9">
        <w:rPr>
          <w:rFonts w:cstheme="minorHAnsi"/>
          <w:i/>
          <w:u w:val="single"/>
        </w:rPr>
        <w:t>3</w:t>
      </w:r>
      <w:r w:rsidR="0082742C" w:rsidRPr="00AC46C9">
        <w:rPr>
          <w:rFonts w:cstheme="minorHAnsi"/>
          <w:i/>
          <w:u w:val="single"/>
        </w:rPr>
        <w:t xml:space="preserve"> – Select the Relevant Project Phase</w:t>
      </w:r>
    </w:p>
    <w:p w14:paraId="39CFED00" w14:textId="79585486" w:rsidR="007A6846" w:rsidRPr="00AC46C9" w:rsidRDefault="00600EF8" w:rsidP="00D02E22">
      <w:pPr>
        <w:spacing w:after="0"/>
        <w:jc w:val="both"/>
        <w:rPr>
          <w:rFonts w:cstheme="minorHAnsi"/>
        </w:rPr>
      </w:pPr>
      <w:r w:rsidRPr="00AC46C9">
        <w:rPr>
          <w:rFonts w:cstheme="minorHAnsi"/>
        </w:rPr>
        <w:t xml:space="preserve">Select from the drop-down menu the specific NTA </w:t>
      </w:r>
      <w:r w:rsidR="00700F28" w:rsidRPr="00AC46C9">
        <w:rPr>
          <w:rFonts w:cstheme="minorHAnsi"/>
        </w:rPr>
        <w:t xml:space="preserve">Project </w:t>
      </w:r>
      <w:r w:rsidRPr="00AC46C9">
        <w:rPr>
          <w:rFonts w:cstheme="minorHAnsi"/>
        </w:rPr>
        <w:t xml:space="preserve">Phase </w:t>
      </w:r>
      <w:r w:rsidR="002334EC" w:rsidRPr="00AC46C9">
        <w:rPr>
          <w:rFonts w:cstheme="minorHAnsi"/>
        </w:rPr>
        <w:t>in which the contingency calculation is being generated</w:t>
      </w:r>
      <w:r w:rsidR="00BE28E5" w:rsidRPr="00AC46C9">
        <w:rPr>
          <w:rFonts w:cstheme="minorHAnsi"/>
        </w:rPr>
        <w:t>. The options are:</w:t>
      </w:r>
    </w:p>
    <w:p w14:paraId="78C3DF21" w14:textId="77777777" w:rsidR="007A6846" w:rsidRPr="00AC46C9" w:rsidRDefault="007A6846" w:rsidP="00D02E22">
      <w:pPr>
        <w:spacing w:after="0"/>
        <w:jc w:val="both"/>
        <w:rPr>
          <w:rFonts w:cstheme="minorHAnsi"/>
        </w:rPr>
      </w:pPr>
    </w:p>
    <w:p w14:paraId="6AB4FB55" w14:textId="07080BF2" w:rsidR="001C6BB6" w:rsidRPr="00AC46C9" w:rsidRDefault="001C6BB6" w:rsidP="00D02E22">
      <w:pPr>
        <w:pStyle w:val="ListParagraph"/>
        <w:numPr>
          <w:ilvl w:val="0"/>
          <w:numId w:val="1"/>
        </w:numPr>
        <w:spacing w:after="0"/>
        <w:jc w:val="both"/>
        <w:rPr>
          <w:rFonts w:cstheme="minorHAnsi"/>
        </w:rPr>
      </w:pPr>
      <w:r w:rsidRPr="00AC46C9">
        <w:rPr>
          <w:rFonts w:cstheme="minorHAnsi"/>
        </w:rPr>
        <w:t xml:space="preserve">Phase </w:t>
      </w:r>
      <w:r w:rsidR="00AC46C9" w:rsidRPr="00AC46C9">
        <w:rPr>
          <w:rFonts w:cstheme="minorHAnsi"/>
        </w:rPr>
        <w:t>1</w:t>
      </w:r>
      <w:r w:rsidRPr="00AC46C9">
        <w:rPr>
          <w:rFonts w:cstheme="minorHAnsi"/>
        </w:rPr>
        <w:t xml:space="preserve"> – Scope and </w:t>
      </w:r>
      <w:r w:rsidR="00AC46C9" w:rsidRPr="00AC46C9">
        <w:rPr>
          <w:rFonts w:cstheme="minorHAnsi"/>
        </w:rPr>
        <w:t>Purpose</w:t>
      </w:r>
      <w:r w:rsidRPr="00AC46C9">
        <w:rPr>
          <w:rFonts w:cstheme="minorHAnsi"/>
        </w:rPr>
        <w:t>.</w:t>
      </w:r>
    </w:p>
    <w:p w14:paraId="0D53F5CB" w14:textId="2C8D835C" w:rsidR="007A6846" w:rsidRPr="00AC46C9" w:rsidRDefault="007A6846" w:rsidP="00D02E22">
      <w:pPr>
        <w:pStyle w:val="ListParagraph"/>
        <w:numPr>
          <w:ilvl w:val="0"/>
          <w:numId w:val="1"/>
        </w:numPr>
        <w:spacing w:after="0"/>
        <w:jc w:val="both"/>
        <w:rPr>
          <w:rFonts w:cstheme="minorHAnsi"/>
        </w:rPr>
      </w:pPr>
      <w:r w:rsidRPr="00AC46C9">
        <w:rPr>
          <w:rFonts w:cstheme="minorHAnsi"/>
        </w:rPr>
        <w:t xml:space="preserve">Phase </w:t>
      </w:r>
      <w:r w:rsidR="00AC46C9" w:rsidRPr="00AC46C9">
        <w:rPr>
          <w:rFonts w:cstheme="minorHAnsi"/>
        </w:rPr>
        <w:t>2</w:t>
      </w:r>
      <w:r w:rsidRPr="00AC46C9">
        <w:rPr>
          <w:rFonts w:cstheme="minorHAnsi"/>
        </w:rPr>
        <w:t xml:space="preserve"> – </w:t>
      </w:r>
      <w:r w:rsidR="00AC46C9" w:rsidRPr="00AC46C9">
        <w:rPr>
          <w:rFonts w:cstheme="minorHAnsi"/>
        </w:rPr>
        <w:t>Concept Development and Option Selection</w:t>
      </w:r>
      <w:r w:rsidRPr="00AC46C9">
        <w:rPr>
          <w:rFonts w:cstheme="minorHAnsi"/>
        </w:rPr>
        <w:t>.</w:t>
      </w:r>
    </w:p>
    <w:p w14:paraId="69092983" w14:textId="19E5ACB9" w:rsidR="007A6846" w:rsidRPr="00AC46C9" w:rsidRDefault="007A6846" w:rsidP="00D02E22">
      <w:pPr>
        <w:pStyle w:val="ListParagraph"/>
        <w:numPr>
          <w:ilvl w:val="0"/>
          <w:numId w:val="1"/>
        </w:numPr>
        <w:spacing w:after="0"/>
        <w:jc w:val="both"/>
        <w:rPr>
          <w:rFonts w:cstheme="minorHAnsi"/>
        </w:rPr>
      </w:pPr>
      <w:r w:rsidRPr="00AC46C9">
        <w:rPr>
          <w:rFonts w:cstheme="minorHAnsi"/>
        </w:rPr>
        <w:t xml:space="preserve">Phase </w:t>
      </w:r>
      <w:r w:rsidR="00AC46C9" w:rsidRPr="00AC46C9">
        <w:rPr>
          <w:rFonts w:cstheme="minorHAnsi"/>
        </w:rPr>
        <w:t>3</w:t>
      </w:r>
      <w:r w:rsidRPr="00AC46C9">
        <w:rPr>
          <w:rFonts w:cstheme="minorHAnsi"/>
        </w:rPr>
        <w:t xml:space="preserve"> – Preliminary Design. </w:t>
      </w:r>
    </w:p>
    <w:p w14:paraId="1F8A6C58" w14:textId="586A87AF" w:rsidR="007A6846" w:rsidRPr="00AC46C9" w:rsidRDefault="007A6846" w:rsidP="00D02E22">
      <w:pPr>
        <w:pStyle w:val="ListParagraph"/>
        <w:numPr>
          <w:ilvl w:val="0"/>
          <w:numId w:val="1"/>
        </w:numPr>
        <w:spacing w:after="0"/>
        <w:jc w:val="both"/>
        <w:rPr>
          <w:rFonts w:cstheme="minorHAnsi"/>
        </w:rPr>
      </w:pPr>
      <w:r w:rsidRPr="00AC46C9">
        <w:rPr>
          <w:rFonts w:cstheme="minorHAnsi"/>
        </w:rPr>
        <w:t xml:space="preserve">Phase </w:t>
      </w:r>
      <w:r w:rsidR="00AC46C9" w:rsidRPr="00AC46C9">
        <w:rPr>
          <w:rFonts w:cstheme="minorHAnsi"/>
        </w:rPr>
        <w:t>4</w:t>
      </w:r>
      <w:r w:rsidRPr="00AC46C9">
        <w:rPr>
          <w:rFonts w:cstheme="minorHAnsi"/>
        </w:rPr>
        <w:t xml:space="preserve"> – </w:t>
      </w:r>
      <w:r w:rsidR="00AC46C9" w:rsidRPr="00AC46C9">
        <w:rPr>
          <w:rFonts w:cstheme="minorHAnsi"/>
        </w:rPr>
        <w:t>Statutory</w:t>
      </w:r>
      <w:r w:rsidRPr="00AC46C9">
        <w:rPr>
          <w:rFonts w:cstheme="minorHAnsi"/>
        </w:rPr>
        <w:t xml:space="preserve"> Processes. </w:t>
      </w:r>
    </w:p>
    <w:p w14:paraId="1C6B3913" w14:textId="763DB582" w:rsidR="007A6846" w:rsidRPr="00AC46C9" w:rsidRDefault="007A6846" w:rsidP="00D02E22">
      <w:pPr>
        <w:pStyle w:val="ListParagraph"/>
        <w:numPr>
          <w:ilvl w:val="0"/>
          <w:numId w:val="1"/>
        </w:numPr>
        <w:spacing w:after="0"/>
        <w:jc w:val="both"/>
        <w:rPr>
          <w:rFonts w:cstheme="minorHAnsi"/>
        </w:rPr>
      </w:pPr>
      <w:r w:rsidRPr="00AC46C9">
        <w:rPr>
          <w:rFonts w:cstheme="minorHAnsi"/>
        </w:rPr>
        <w:t xml:space="preserve">Phase </w:t>
      </w:r>
      <w:r w:rsidR="00AC46C9" w:rsidRPr="00AC46C9">
        <w:rPr>
          <w:rFonts w:cstheme="minorHAnsi"/>
        </w:rPr>
        <w:t>5</w:t>
      </w:r>
      <w:r w:rsidRPr="00AC46C9">
        <w:rPr>
          <w:rFonts w:cstheme="minorHAnsi"/>
        </w:rPr>
        <w:t xml:space="preserve"> – Detailed Design </w:t>
      </w:r>
      <w:r w:rsidR="00AC46C9" w:rsidRPr="00AC46C9">
        <w:rPr>
          <w:rFonts w:cstheme="minorHAnsi"/>
        </w:rPr>
        <w:t>and Procurement</w:t>
      </w:r>
      <w:r w:rsidRPr="00AC46C9">
        <w:rPr>
          <w:rFonts w:cstheme="minorHAnsi"/>
        </w:rPr>
        <w:t>.</w:t>
      </w:r>
    </w:p>
    <w:p w14:paraId="58793DDB" w14:textId="77777777" w:rsidR="00600EF8" w:rsidRPr="00AC46C9" w:rsidRDefault="00600EF8" w:rsidP="00D02E22">
      <w:pPr>
        <w:spacing w:after="0"/>
        <w:jc w:val="both"/>
        <w:rPr>
          <w:rFonts w:cstheme="minorHAnsi"/>
        </w:rPr>
      </w:pPr>
    </w:p>
    <w:p w14:paraId="5C41EBAB" w14:textId="38693F94" w:rsidR="00D9717B" w:rsidRPr="00AC46C9" w:rsidRDefault="00600EF8" w:rsidP="00D02E22">
      <w:pPr>
        <w:spacing w:after="0"/>
        <w:jc w:val="both"/>
        <w:rPr>
          <w:rFonts w:cstheme="minorHAnsi"/>
        </w:rPr>
      </w:pPr>
      <w:r w:rsidRPr="00AC46C9">
        <w:rPr>
          <w:rFonts w:cstheme="minorHAnsi"/>
        </w:rPr>
        <w:t>Selecti</w:t>
      </w:r>
      <w:r w:rsidR="002334EC" w:rsidRPr="00AC46C9">
        <w:rPr>
          <w:rFonts w:cstheme="minorHAnsi"/>
        </w:rPr>
        <w:t>on of</w:t>
      </w:r>
      <w:r w:rsidRPr="00AC46C9">
        <w:rPr>
          <w:rFonts w:cstheme="minorHAnsi"/>
        </w:rPr>
        <w:t xml:space="preserve"> the project phase </w:t>
      </w:r>
      <w:r w:rsidR="002334EC" w:rsidRPr="00AC46C9">
        <w:rPr>
          <w:rFonts w:cstheme="minorHAnsi"/>
        </w:rPr>
        <w:t>will determine</w:t>
      </w:r>
      <w:r w:rsidRPr="00AC46C9">
        <w:rPr>
          <w:rFonts w:cstheme="minorHAnsi"/>
        </w:rPr>
        <w:t xml:space="preserve"> upper and lower bound contingency percentages. </w:t>
      </w:r>
      <w:r w:rsidR="002334EC" w:rsidRPr="00AC46C9">
        <w:rPr>
          <w:rFonts w:cstheme="minorHAnsi"/>
        </w:rPr>
        <w:t xml:space="preserve">These upper and lower bound percentages are based on a </w:t>
      </w:r>
      <w:r w:rsidR="001E676D" w:rsidRPr="00AC46C9">
        <w:rPr>
          <w:rFonts w:cstheme="minorHAnsi"/>
        </w:rPr>
        <w:t>presumed</w:t>
      </w:r>
      <w:r w:rsidR="002334EC" w:rsidRPr="00AC46C9">
        <w:rPr>
          <w:rFonts w:cstheme="minorHAnsi"/>
        </w:rPr>
        <w:t xml:space="preserve"> knowledge</w:t>
      </w:r>
      <w:r w:rsidR="001E676D" w:rsidRPr="00AC46C9">
        <w:rPr>
          <w:rFonts w:cstheme="minorHAnsi"/>
        </w:rPr>
        <w:t>/certainty</w:t>
      </w:r>
      <w:r w:rsidR="002334EC" w:rsidRPr="00AC46C9">
        <w:rPr>
          <w:rFonts w:cstheme="minorHAnsi"/>
        </w:rPr>
        <w:t xml:space="preserve"> of the </w:t>
      </w:r>
      <w:r w:rsidR="00700F28" w:rsidRPr="00AC46C9">
        <w:rPr>
          <w:rFonts w:cstheme="minorHAnsi"/>
        </w:rPr>
        <w:t>project</w:t>
      </w:r>
      <w:r w:rsidR="002334EC" w:rsidRPr="00AC46C9">
        <w:rPr>
          <w:rFonts w:cstheme="minorHAnsi"/>
        </w:rPr>
        <w:t xml:space="preserve"> </w:t>
      </w:r>
      <w:r w:rsidR="001E676D" w:rsidRPr="00AC46C9">
        <w:rPr>
          <w:rFonts w:cstheme="minorHAnsi"/>
        </w:rPr>
        <w:t xml:space="preserve">at </w:t>
      </w:r>
      <w:r w:rsidR="001C6BB6" w:rsidRPr="00AC46C9">
        <w:rPr>
          <w:rFonts w:cstheme="minorHAnsi"/>
        </w:rPr>
        <w:t>each</w:t>
      </w:r>
      <w:r w:rsidRPr="00AC46C9">
        <w:rPr>
          <w:rFonts w:cstheme="minorHAnsi"/>
        </w:rPr>
        <w:t xml:space="preserve"> </w:t>
      </w:r>
      <w:r w:rsidR="001E676D" w:rsidRPr="00AC46C9">
        <w:rPr>
          <w:rFonts w:cstheme="minorHAnsi"/>
        </w:rPr>
        <w:t xml:space="preserve">phase. </w:t>
      </w:r>
    </w:p>
    <w:p w14:paraId="303127BC" w14:textId="77777777" w:rsidR="001C6BB6" w:rsidRPr="00AC46C9" w:rsidRDefault="001C6BB6" w:rsidP="00D02E22">
      <w:pPr>
        <w:spacing w:after="0"/>
        <w:jc w:val="both"/>
        <w:rPr>
          <w:rFonts w:cstheme="minorHAnsi"/>
          <w:i/>
          <w:u w:val="single"/>
        </w:rPr>
      </w:pPr>
    </w:p>
    <w:p w14:paraId="61B92B8B" w14:textId="33FE8C34" w:rsidR="00600EF8" w:rsidRPr="00AC46C9" w:rsidRDefault="00600EF8" w:rsidP="00D02E22">
      <w:pPr>
        <w:spacing w:after="0"/>
        <w:jc w:val="both"/>
        <w:rPr>
          <w:rFonts w:cstheme="minorHAnsi"/>
          <w:i/>
          <w:u w:val="single"/>
        </w:rPr>
      </w:pPr>
      <w:r w:rsidRPr="00AC46C9">
        <w:rPr>
          <w:rFonts w:cstheme="minorHAnsi"/>
          <w:i/>
          <w:u w:val="single"/>
        </w:rPr>
        <w:t xml:space="preserve">Step </w:t>
      </w:r>
      <w:r w:rsidR="00AC46C9" w:rsidRPr="00AC46C9">
        <w:rPr>
          <w:rFonts w:cstheme="minorHAnsi"/>
          <w:i/>
          <w:u w:val="single"/>
        </w:rPr>
        <w:t>4</w:t>
      </w:r>
      <w:r w:rsidR="0082742C" w:rsidRPr="00AC46C9">
        <w:rPr>
          <w:rFonts w:cstheme="minorHAnsi"/>
          <w:i/>
          <w:u w:val="single"/>
        </w:rPr>
        <w:t xml:space="preserve"> – Select the Project </w:t>
      </w:r>
      <w:r w:rsidR="001E676D" w:rsidRPr="00AC46C9">
        <w:rPr>
          <w:rFonts w:cstheme="minorHAnsi"/>
          <w:i/>
          <w:u w:val="single"/>
        </w:rPr>
        <w:t>Work Classification</w:t>
      </w:r>
    </w:p>
    <w:p w14:paraId="17C86F35" w14:textId="77777777" w:rsidR="00E63F02" w:rsidRPr="00AC46C9" w:rsidRDefault="00600EF8" w:rsidP="00D02E22">
      <w:pPr>
        <w:spacing w:after="0"/>
        <w:jc w:val="both"/>
        <w:rPr>
          <w:rFonts w:cstheme="minorHAnsi"/>
        </w:rPr>
      </w:pPr>
      <w:r w:rsidRPr="00AC46C9">
        <w:rPr>
          <w:rFonts w:cstheme="minorHAnsi"/>
        </w:rPr>
        <w:t xml:space="preserve">Select from the drop-down menu the project Work Classification, either a ‘standard project’ or a ‘non-standard project’.   </w:t>
      </w:r>
      <w:r w:rsidR="007A6846" w:rsidRPr="00AC46C9">
        <w:rPr>
          <w:rFonts w:cstheme="minorHAnsi"/>
        </w:rPr>
        <w:t>The</w:t>
      </w:r>
      <w:r w:rsidR="00E63F02" w:rsidRPr="00AC46C9">
        <w:rPr>
          <w:rFonts w:cstheme="minorHAnsi"/>
        </w:rPr>
        <w:t xml:space="preserve"> selection of the project Work Classification </w:t>
      </w:r>
      <w:r w:rsidR="001E676D" w:rsidRPr="00AC46C9">
        <w:rPr>
          <w:rFonts w:cstheme="minorHAnsi"/>
        </w:rPr>
        <w:t>is also a contributing factor to</w:t>
      </w:r>
      <w:r w:rsidR="00E63F02" w:rsidRPr="00AC46C9">
        <w:rPr>
          <w:rFonts w:cstheme="minorHAnsi"/>
        </w:rPr>
        <w:t xml:space="preserve"> the upper and lower bound contingency percentages.</w:t>
      </w:r>
    </w:p>
    <w:p w14:paraId="78AEB9F9" w14:textId="77777777" w:rsidR="00E639B7" w:rsidRPr="00AC46C9" w:rsidRDefault="00E639B7" w:rsidP="00D02E22">
      <w:pPr>
        <w:spacing w:after="0"/>
        <w:jc w:val="both"/>
        <w:rPr>
          <w:rFonts w:cstheme="minorHAnsi"/>
        </w:rPr>
      </w:pPr>
    </w:p>
    <w:p w14:paraId="62218A01" w14:textId="5F5B2E03" w:rsidR="0082742C" w:rsidRPr="00AC46C9" w:rsidRDefault="0082742C" w:rsidP="00D02E22">
      <w:pPr>
        <w:spacing w:after="0"/>
        <w:jc w:val="both"/>
        <w:rPr>
          <w:rFonts w:cstheme="minorHAnsi"/>
        </w:rPr>
      </w:pPr>
      <w:r w:rsidRPr="00AC46C9">
        <w:rPr>
          <w:rFonts w:cstheme="minorHAnsi"/>
        </w:rPr>
        <w:t xml:space="preserve">For ease of distinction, a </w:t>
      </w:r>
      <w:r w:rsidR="00BE28E5" w:rsidRPr="00AC46C9">
        <w:rPr>
          <w:rFonts w:cstheme="minorHAnsi"/>
        </w:rPr>
        <w:t>‘</w:t>
      </w:r>
      <w:r w:rsidRPr="00AC46C9">
        <w:rPr>
          <w:rFonts w:cstheme="minorHAnsi"/>
        </w:rPr>
        <w:t>non-standard</w:t>
      </w:r>
      <w:r w:rsidR="00BE28E5" w:rsidRPr="00AC46C9">
        <w:rPr>
          <w:rFonts w:cstheme="minorHAnsi"/>
        </w:rPr>
        <w:t>’</w:t>
      </w:r>
      <w:r w:rsidRPr="00AC46C9">
        <w:rPr>
          <w:rFonts w:cstheme="minorHAnsi"/>
        </w:rPr>
        <w:t xml:space="preserve"> project is one which is innovative, has mostly unique characteristics or involves a high degree of complexity and/or difficulty. They involve construction requiring special design considerations due to space constraints or unusual output specifications </w:t>
      </w:r>
      <w:proofErr w:type="gramStart"/>
      <w:r w:rsidR="00E532D3" w:rsidRPr="00AC46C9">
        <w:rPr>
          <w:rFonts w:cstheme="minorHAnsi"/>
        </w:rPr>
        <w:t>e.g.</w:t>
      </w:r>
      <w:proofErr w:type="gramEnd"/>
      <w:r w:rsidRPr="00AC46C9">
        <w:rPr>
          <w:rFonts w:cstheme="minorHAnsi"/>
        </w:rPr>
        <w:t xml:space="preserve"> rail,</w:t>
      </w:r>
      <w:r w:rsidR="00771B22" w:rsidRPr="00AC46C9">
        <w:rPr>
          <w:rFonts w:cstheme="minorHAnsi"/>
        </w:rPr>
        <w:t xml:space="preserve"> urban</w:t>
      </w:r>
      <w:r w:rsidRPr="00AC46C9">
        <w:rPr>
          <w:rFonts w:cstheme="minorHAnsi"/>
        </w:rPr>
        <w:t xml:space="preserve"> road, utility projects or upgrade and extension projects. </w:t>
      </w:r>
    </w:p>
    <w:p w14:paraId="3BB82EA4" w14:textId="77777777" w:rsidR="007A6846" w:rsidRPr="00AC46C9" w:rsidRDefault="007A6846" w:rsidP="00D02E22">
      <w:pPr>
        <w:spacing w:after="0"/>
        <w:jc w:val="both"/>
        <w:rPr>
          <w:rFonts w:cstheme="minorHAnsi"/>
        </w:rPr>
      </w:pPr>
    </w:p>
    <w:p w14:paraId="23E22119" w14:textId="43A53F64" w:rsidR="007A6846" w:rsidRPr="00AC46C9" w:rsidRDefault="007A6846" w:rsidP="00D02E22">
      <w:pPr>
        <w:spacing w:after="0"/>
        <w:jc w:val="both"/>
        <w:rPr>
          <w:rFonts w:cstheme="minorHAnsi"/>
        </w:rPr>
      </w:pPr>
      <w:r w:rsidRPr="00AC46C9">
        <w:rPr>
          <w:rFonts w:cstheme="minorHAnsi"/>
        </w:rPr>
        <w:t xml:space="preserve">A </w:t>
      </w:r>
      <w:r w:rsidR="00BE28E5" w:rsidRPr="00AC46C9">
        <w:rPr>
          <w:rFonts w:cstheme="minorHAnsi"/>
        </w:rPr>
        <w:t xml:space="preserve">‘standard </w:t>
      </w:r>
      <w:r w:rsidRPr="00AC46C9">
        <w:rPr>
          <w:rFonts w:cstheme="minorHAnsi"/>
        </w:rPr>
        <w:t>project</w:t>
      </w:r>
      <w:r w:rsidR="00BE28E5" w:rsidRPr="00AC46C9">
        <w:rPr>
          <w:rFonts w:cstheme="minorHAnsi"/>
        </w:rPr>
        <w:t>’</w:t>
      </w:r>
      <w:r w:rsidRPr="00AC46C9">
        <w:rPr>
          <w:rFonts w:cstheme="minorHAnsi"/>
        </w:rPr>
        <w:t xml:space="preserve"> is one which involves construction not requiring special design considerations</w:t>
      </w:r>
      <w:r w:rsidR="00771B22" w:rsidRPr="00AC46C9">
        <w:rPr>
          <w:rFonts w:cstheme="minorHAnsi"/>
        </w:rPr>
        <w:t xml:space="preserve"> </w:t>
      </w:r>
      <w:proofErr w:type="gramStart"/>
      <w:r w:rsidR="00E532D3" w:rsidRPr="00AC46C9">
        <w:rPr>
          <w:rFonts w:cstheme="minorHAnsi"/>
        </w:rPr>
        <w:t>e.g.</w:t>
      </w:r>
      <w:proofErr w:type="gramEnd"/>
      <w:r w:rsidR="00771B22" w:rsidRPr="00AC46C9">
        <w:rPr>
          <w:rFonts w:cstheme="minorHAnsi"/>
        </w:rPr>
        <w:t xml:space="preserve"> standard transport projects such as rural</w:t>
      </w:r>
      <w:r w:rsidR="001C6BB6" w:rsidRPr="00AC46C9">
        <w:rPr>
          <w:rFonts w:cstheme="minorHAnsi"/>
        </w:rPr>
        <w:t xml:space="preserve"> or sub-urban</w:t>
      </w:r>
      <w:r w:rsidR="00771B22" w:rsidRPr="00AC46C9">
        <w:rPr>
          <w:rFonts w:cstheme="minorHAnsi"/>
        </w:rPr>
        <w:t xml:space="preserve"> road construction</w:t>
      </w:r>
      <w:r w:rsidRPr="00AC46C9">
        <w:rPr>
          <w:rFonts w:cstheme="minorHAnsi"/>
        </w:rPr>
        <w:t xml:space="preserve">. </w:t>
      </w:r>
    </w:p>
    <w:p w14:paraId="1FD68847" w14:textId="77777777" w:rsidR="001F00DD" w:rsidRPr="00AC46C9" w:rsidRDefault="001F00DD" w:rsidP="00D02E22">
      <w:pPr>
        <w:spacing w:after="0"/>
        <w:jc w:val="both"/>
        <w:rPr>
          <w:rFonts w:cstheme="minorHAnsi"/>
        </w:rPr>
      </w:pPr>
    </w:p>
    <w:p w14:paraId="0436CE68" w14:textId="36271862" w:rsidR="00E63F02" w:rsidRPr="00AC46C9" w:rsidRDefault="00E63F02" w:rsidP="00D02E22">
      <w:pPr>
        <w:spacing w:after="0"/>
        <w:jc w:val="both"/>
        <w:rPr>
          <w:rFonts w:cstheme="minorHAnsi"/>
          <w:i/>
          <w:u w:val="single"/>
        </w:rPr>
      </w:pPr>
      <w:r w:rsidRPr="00AC46C9">
        <w:rPr>
          <w:rFonts w:cstheme="minorHAnsi"/>
          <w:i/>
          <w:u w:val="single"/>
        </w:rPr>
        <w:t xml:space="preserve">Step </w:t>
      </w:r>
      <w:r w:rsidR="00AC46C9" w:rsidRPr="00AC46C9">
        <w:rPr>
          <w:rFonts w:cstheme="minorHAnsi"/>
          <w:i/>
          <w:u w:val="single"/>
        </w:rPr>
        <w:t>5</w:t>
      </w:r>
      <w:r w:rsidR="0070490B" w:rsidRPr="00AC46C9">
        <w:rPr>
          <w:rFonts w:cstheme="minorHAnsi"/>
          <w:i/>
          <w:u w:val="single"/>
        </w:rPr>
        <w:t xml:space="preserve"> – Consideration of Contributory Factors &amp; Mitigation</w:t>
      </w:r>
    </w:p>
    <w:p w14:paraId="4599319D" w14:textId="77777777" w:rsidR="00600EF8" w:rsidRPr="00AC46C9" w:rsidRDefault="00A4516F" w:rsidP="00D02E22">
      <w:pPr>
        <w:spacing w:after="0"/>
        <w:jc w:val="both"/>
        <w:rPr>
          <w:rFonts w:cstheme="minorHAnsi"/>
        </w:rPr>
      </w:pPr>
      <w:r w:rsidRPr="00AC46C9">
        <w:rPr>
          <w:rFonts w:cstheme="minorHAnsi"/>
        </w:rPr>
        <w:t>NTA ha</w:t>
      </w:r>
      <w:r w:rsidR="009B3F99" w:rsidRPr="00AC46C9">
        <w:rPr>
          <w:rFonts w:cstheme="minorHAnsi"/>
        </w:rPr>
        <w:t>s</w:t>
      </w:r>
      <w:r w:rsidRPr="00AC46C9">
        <w:rPr>
          <w:rFonts w:cstheme="minorHAnsi"/>
        </w:rPr>
        <w:t xml:space="preserve"> </w:t>
      </w:r>
      <w:r w:rsidR="009B3F99" w:rsidRPr="00AC46C9">
        <w:rPr>
          <w:rFonts w:cstheme="minorHAnsi"/>
        </w:rPr>
        <w:t>identified</w:t>
      </w:r>
      <w:r w:rsidRPr="00AC46C9">
        <w:rPr>
          <w:rFonts w:cstheme="minorHAnsi"/>
        </w:rPr>
        <w:t xml:space="preserve"> the contingency contributory factors, the associated mitigation </w:t>
      </w:r>
      <w:proofErr w:type="gramStart"/>
      <w:r w:rsidRPr="00AC46C9">
        <w:rPr>
          <w:rFonts w:cstheme="minorHAnsi"/>
        </w:rPr>
        <w:t>actions</w:t>
      </w:r>
      <w:proofErr w:type="gramEnd"/>
      <w:r w:rsidRPr="00AC46C9">
        <w:rPr>
          <w:rFonts w:cstheme="minorHAnsi"/>
        </w:rPr>
        <w:t xml:space="preserve"> and the weighting of each action. When preparing </w:t>
      </w:r>
      <w:r w:rsidR="00022FDD" w:rsidRPr="00AC46C9">
        <w:rPr>
          <w:rFonts w:cstheme="minorHAnsi"/>
        </w:rPr>
        <w:t>each</w:t>
      </w:r>
      <w:r w:rsidRPr="00AC46C9">
        <w:rPr>
          <w:rFonts w:cstheme="minorHAnsi"/>
        </w:rPr>
        <w:t xml:space="preserve"> cost estimate</w:t>
      </w:r>
      <w:r w:rsidR="00E258C7" w:rsidRPr="00AC46C9">
        <w:rPr>
          <w:rFonts w:cstheme="minorHAnsi"/>
        </w:rPr>
        <w:t>,</w:t>
      </w:r>
      <w:r w:rsidRPr="00AC46C9">
        <w:rPr>
          <w:rFonts w:cstheme="minorHAnsi"/>
        </w:rPr>
        <w:t xml:space="preserve"> </w:t>
      </w:r>
      <w:r w:rsidR="0082742C" w:rsidRPr="00AC46C9">
        <w:rPr>
          <w:rFonts w:cstheme="minorHAnsi"/>
        </w:rPr>
        <w:t>mitigation</w:t>
      </w:r>
      <w:r w:rsidR="00E258C7" w:rsidRPr="00AC46C9">
        <w:rPr>
          <w:rFonts w:cstheme="minorHAnsi"/>
        </w:rPr>
        <w:t xml:space="preserve"> percentages</w:t>
      </w:r>
      <w:r w:rsidR="00022FDD" w:rsidRPr="00AC46C9">
        <w:rPr>
          <w:rFonts w:cstheme="minorHAnsi"/>
        </w:rPr>
        <w:t xml:space="preserve"> shall be adjusted</w:t>
      </w:r>
      <w:r w:rsidR="0082742C" w:rsidRPr="00AC46C9">
        <w:rPr>
          <w:rFonts w:cstheme="minorHAnsi"/>
        </w:rPr>
        <w:t xml:space="preserve"> using the buttons available</w:t>
      </w:r>
      <w:r w:rsidR="0070490B" w:rsidRPr="00AC46C9">
        <w:rPr>
          <w:rFonts w:cstheme="minorHAnsi"/>
        </w:rPr>
        <w:t xml:space="preserve"> to </w:t>
      </w:r>
      <w:r w:rsidR="009B3F99" w:rsidRPr="00AC46C9">
        <w:rPr>
          <w:rFonts w:cstheme="minorHAnsi"/>
        </w:rPr>
        <w:t xml:space="preserve">reflect </w:t>
      </w:r>
      <w:r w:rsidR="0070490B" w:rsidRPr="00AC46C9">
        <w:rPr>
          <w:rFonts w:cstheme="minorHAnsi"/>
        </w:rPr>
        <w:t xml:space="preserve">the extent to which </w:t>
      </w:r>
      <w:r w:rsidR="00022FDD" w:rsidRPr="00AC46C9">
        <w:rPr>
          <w:rFonts w:cstheme="minorHAnsi"/>
        </w:rPr>
        <w:t>mitigation actions have been applied</w:t>
      </w:r>
      <w:r w:rsidR="0082742C" w:rsidRPr="00AC46C9">
        <w:rPr>
          <w:rFonts w:cstheme="minorHAnsi"/>
        </w:rPr>
        <w:t xml:space="preserve">. </w:t>
      </w:r>
    </w:p>
    <w:p w14:paraId="211138F7" w14:textId="77777777" w:rsidR="00E258C7" w:rsidRPr="00AC46C9" w:rsidRDefault="00E258C7" w:rsidP="00D02E22">
      <w:pPr>
        <w:spacing w:after="0"/>
        <w:jc w:val="both"/>
        <w:rPr>
          <w:rFonts w:cstheme="minorHAnsi"/>
        </w:rPr>
      </w:pPr>
    </w:p>
    <w:p w14:paraId="2CC328E8" w14:textId="61739FE5" w:rsidR="00BE28E5" w:rsidRPr="00AC46C9" w:rsidRDefault="00BE28E5" w:rsidP="00D02E22">
      <w:pPr>
        <w:spacing w:after="0"/>
        <w:jc w:val="both"/>
        <w:rPr>
          <w:rFonts w:cstheme="minorHAnsi"/>
        </w:rPr>
      </w:pPr>
      <w:r w:rsidRPr="00AC46C9">
        <w:rPr>
          <w:rFonts w:cstheme="minorHAnsi"/>
        </w:rPr>
        <w:t>This process is interpretive as it requires the user to express judgement on the percentage of mitigation completed</w:t>
      </w:r>
      <w:r w:rsidR="001C6BB6" w:rsidRPr="00AC46C9">
        <w:rPr>
          <w:rFonts w:cstheme="minorHAnsi"/>
        </w:rPr>
        <w:t>,</w:t>
      </w:r>
      <w:r w:rsidRPr="00AC46C9">
        <w:rPr>
          <w:rFonts w:cstheme="minorHAnsi"/>
        </w:rPr>
        <w:t xml:space="preserve"> compared with the amount of mitigation that can still be applied. </w:t>
      </w:r>
      <w:r w:rsidR="00D9717B" w:rsidRPr="00AC46C9">
        <w:rPr>
          <w:rFonts w:cstheme="minorHAnsi"/>
        </w:rPr>
        <w:t xml:space="preserve">NTA or an independent third party may audit/review the percentage mitigation applied. </w:t>
      </w:r>
    </w:p>
    <w:p w14:paraId="56052991" w14:textId="77777777" w:rsidR="00BE28E5" w:rsidRPr="00AC46C9" w:rsidRDefault="00BE28E5" w:rsidP="00D02E22">
      <w:pPr>
        <w:spacing w:after="0"/>
        <w:jc w:val="both"/>
        <w:rPr>
          <w:rFonts w:cstheme="minorHAnsi"/>
        </w:rPr>
      </w:pPr>
    </w:p>
    <w:p w14:paraId="1F187EFD" w14:textId="77777777" w:rsidR="00E258C7" w:rsidRPr="00AC46C9" w:rsidRDefault="00E258C7" w:rsidP="00D02E22">
      <w:pPr>
        <w:spacing w:after="0"/>
        <w:jc w:val="both"/>
        <w:rPr>
          <w:rFonts w:cstheme="minorHAnsi"/>
        </w:rPr>
      </w:pPr>
      <w:r w:rsidRPr="00AC46C9">
        <w:rPr>
          <w:rFonts w:cstheme="minorHAnsi"/>
        </w:rPr>
        <w:t xml:space="preserve">As </w:t>
      </w:r>
      <w:r w:rsidR="00BE28E5" w:rsidRPr="00AC46C9">
        <w:rPr>
          <w:rFonts w:cstheme="minorHAnsi"/>
        </w:rPr>
        <w:t xml:space="preserve">mitigation percentages are determined they are </w:t>
      </w:r>
      <w:r w:rsidRPr="00AC46C9">
        <w:rPr>
          <w:rFonts w:cstheme="minorHAnsi"/>
        </w:rPr>
        <w:t xml:space="preserve">applied against the </w:t>
      </w:r>
      <w:r w:rsidR="00BE28E5" w:rsidRPr="00AC46C9">
        <w:rPr>
          <w:rFonts w:cstheme="minorHAnsi"/>
        </w:rPr>
        <w:t>activity weighting to establish a weighted mitigation percentage.</w:t>
      </w:r>
    </w:p>
    <w:p w14:paraId="01529B89" w14:textId="77777777" w:rsidR="00323256" w:rsidRPr="00AC46C9" w:rsidRDefault="00323256" w:rsidP="00D02E22">
      <w:pPr>
        <w:spacing w:after="0"/>
        <w:jc w:val="both"/>
        <w:rPr>
          <w:rFonts w:cstheme="minorHAnsi"/>
        </w:rPr>
      </w:pPr>
    </w:p>
    <w:p w14:paraId="592599FB" w14:textId="51C1F609" w:rsidR="00E258C7" w:rsidRPr="00AC46C9" w:rsidRDefault="00E258C7" w:rsidP="00D02E22">
      <w:pPr>
        <w:spacing w:after="0"/>
        <w:jc w:val="both"/>
        <w:rPr>
          <w:rFonts w:cstheme="minorHAnsi"/>
        </w:rPr>
      </w:pPr>
      <w:r w:rsidRPr="00AC46C9">
        <w:rPr>
          <w:rFonts w:cstheme="minorHAnsi"/>
          <w:i/>
          <w:u w:val="single"/>
        </w:rPr>
        <w:t xml:space="preserve">Step </w:t>
      </w:r>
      <w:r w:rsidR="00AC46C9" w:rsidRPr="00AC46C9">
        <w:rPr>
          <w:rFonts w:cstheme="minorHAnsi"/>
          <w:i/>
          <w:u w:val="single"/>
        </w:rPr>
        <w:t>6</w:t>
      </w:r>
      <w:r w:rsidRPr="00AC46C9">
        <w:rPr>
          <w:rFonts w:cstheme="minorHAnsi"/>
          <w:i/>
          <w:u w:val="single"/>
        </w:rPr>
        <w:t xml:space="preserve"> – </w:t>
      </w:r>
      <w:r w:rsidR="001F00DD" w:rsidRPr="00AC46C9">
        <w:rPr>
          <w:rFonts w:cstheme="minorHAnsi"/>
          <w:i/>
          <w:u w:val="single"/>
        </w:rPr>
        <w:t>Mitigated Contingency Calculation</w:t>
      </w:r>
    </w:p>
    <w:p w14:paraId="12910968" w14:textId="77777777" w:rsidR="00E258C7" w:rsidRPr="00AC46C9" w:rsidRDefault="001F00DD" w:rsidP="00D02E22">
      <w:pPr>
        <w:spacing w:after="0"/>
        <w:jc w:val="both"/>
        <w:rPr>
          <w:rFonts w:cstheme="minorHAnsi"/>
        </w:rPr>
      </w:pPr>
      <w:r w:rsidRPr="00AC46C9">
        <w:rPr>
          <w:rFonts w:cstheme="minorHAnsi"/>
        </w:rPr>
        <w:t xml:space="preserve">In this step the mitigated contingency calculation is carried out to establish the percentage to be applied to the base costs to determine the contingency value. This calculation can be broken into three parts: </w:t>
      </w:r>
    </w:p>
    <w:p w14:paraId="612283D7" w14:textId="77777777" w:rsidR="001F00DD" w:rsidRPr="00AC46C9" w:rsidRDefault="001F00DD" w:rsidP="00D02E22">
      <w:pPr>
        <w:spacing w:after="0"/>
        <w:jc w:val="both"/>
        <w:rPr>
          <w:rFonts w:cstheme="minorHAnsi"/>
        </w:rPr>
      </w:pPr>
    </w:p>
    <w:p w14:paraId="0428BDA1" w14:textId="77777777" w:rsidR="001F00DD" w:rsidRPr="00AC46C9" w:rsidRDefault="001F00DD" w:rsidP="00D02E22">
      <w:pPr>
        <w:pStyle w:val="ListParagraph"/>
        <w:numPr>
          <w:ilvl w:val="0"/>
          <w:numId w:val="3"/>
        </w:numPr>
        <w:spacing w:after="0"/>
        <w:jc w:val="both"/>
        <w:rPr>
          <w:rFonts w:cstheme="minorHAnsi"/>
        </w:rPr>
      </w:pPr>
      <w:r w:rsidRPr="00AC46C9">
        <w:rPr>
          <w:rFonts w:cstheme="minorHAnsi"/>
        </w:rPr>
        <w:t>Part 1 – Establish the difference between the upper and lower bound percentages, essentially the maximum and minimum contingency percentages.</w:t>
      </w:r>
    </w:p>
    <w:p w14:paraId="29FF79E5" w14:textId="24CF6449" w:rsidR="001F00DD" w:rsidRPr="00AC46C9" w:rsidRDefault="001F00DD" w:rsidP="00D02E22">
      <w:pPr>
        <w:pStyle w:val="ListParagraph"/>
        <w:numPr>
          <w:ilvl w:val="0"/>
          <w:numId w:val="3"/>
        </w:numPr>
        <w:spacing w:after="0"/>
        <w:jc w:val="both"/>
        <w:rPr>
          <w:rFonts w:cstheme="minorHAnsi"/>
        </w:rPr>
      </w:pPr>
      <w:r w:rsidRPr="00AC46C9">
        <w:rPr>
          <w:rFonts w:cstheme="minorHAnsi"/>
        </w:rPr>
        <w:t>Part 2 – Apply the cumulative weighted percentage (</w:t>
      </w:r>
      <w:r w:rsidR="00A0339C" w:rsidRPr="00AC46C9">
        <w:rPr>
          <w:rFonts w:cstheme="minorHAnsi"/>
        </w:rPr>
        <w:t xml:space="preserve">from </w:t>
      </w:r>
      <w:r w:rsidRPr="00AC46C9">
        <w:rPr>
          <w:rFonts w:cstheme="minorHAnsi"/>
        </w:rPr>
        <w:t xml:space="preserve">Step </w:t>
      </w:r>
      <w:r w:rsidR="00AC46C9" w:rsidRPr="00AC46C9">
        <w:rPr>
          <w:rFonts w:cstheme="minorHAnsi"/>
        </w:rPr>
        <w:t>5</w:t>
      </w:r>
      <w:r w:rsidRPr="00AC46C9">
        <w:rPr>
          <w:rFonts w:cstheme="minorHAnsi"/>
        </w:rPr>
        <w:t xml:space="preserve">) to the difference between the upper and lower bound percentages (Step </w:t>
      </w:r>
      <w:r w:rsidR="00AC46C9" w:rsidRPr="00AC46C9">
        <w:rPr>
          <w:rFonts w:cstheme="minorHAnsi"/>
        </w:rPr>
        <w:t>6</w:t>
      </w:r>
      <w:r w:rsidRPr="00AC46C9">
        <w:rPr>
          <w:rFonts w:cstheme="minorHAnsi"/>
        </w:rPr>
        <w:t xml:space="preserve">, Part 1) to establish the mitigation value. </w:t>
      </w:r>
    </w:p>
    <w:p w14:paraId="48F406B4" w14:textId="15B5D707" w:rsidR="001F00DD" w:rsidRPr="00AC46C9" w:rsidRDefault="001F00DD" w:rsidP="00D02E22">
      <w:pPr>
        <w:pStyle w:val="ListParagraph"/>
        <w:numPr>
          <w:ilvl w:val="0"/>
          <w:numId w:val="3"/>
        </w:numPr>
        <w:spacing w:after="0"/>
        <w:jc w:val="both"/>
        <w:rPr>
          <w:rFonts w:cstheme="minorHAnsi"/>
        </w:rPr>
      </w:pPr>
      <w:r w:rsidRPr="00AC46C9">
        <w:rPr>
          <w:rFonts w:cstheme="minorHAnsi"/>
        </w:rPr>
        <w:t xml:space="preserve">Part 3 – Deduct the mitigation value (Step </w:t>
      </w:r>
      <w:r w:rsidR="00AC46C9" w:rsidRPr="00AC46C9">
        <w:rPr>
          <w:rFonts w:cstheme="minorHAnsi"/>
        </w:rPr>
        <w:t>6</w:t>
      </w:r>
      <w:r w:rsidRPr="00AC46C9">
        <w:rPr>
          <w:rFonts w:cstheme="minorHAnsi"/>
        </w:rPr>
        <w:t xml:space="preserve">, Part 2) from the upper bound percentage to establish the contingency percentage. </w:t>
      </w:r>
    </w:p>
    <w:p w14:paraId="54B2104A" w14:textId="77777777" w:rsidR="001F00DD" w:rsidRPr="00AC46C9" w:rsidRDefault="001F00DD" w:rsidP="00D02E22">
      <w:pPr>
        <w:pStyle w:val="ListParagraph"/>
        <w:spacing w:after="0"/>
        <w:ind w:left="360"/>
        <w:jc w:val="both"/>
        <w:rPr>
          <w:rFonts w:cstheme="minorHAnsi"/>
        </w:rPr>
      </w:pPr>
    </w:p>
    <w:p w14:paraId="4E27CC1C" w14:textId="6A2531DE" w:rsidR="00E258C7" w:rsidRPr="00AC46C9" w:rsidRDefault="001C6BB6" w:rsidP="00D02E22">
      <w:pPr>
        <w:spacing w:after="0"/>
        <w:jc w:val="both"/>
        <w:rPr>
          <w:rFonts w:cstheme="minorHAnsi"/>
        </w:rPr>
      </w:pPr>
      <w:r w:rsidRPr="00AC46C9">
        <w:rPr>
          <w:rFonts w:cstheme="minorHAnsi"/>
        </w:rPr>
        <w:t xml:space="preserve">The calculation is automated in </w:t>
      </w:r>
      <w:r w:rsidR="00D02E22">
        <w:rPr>
          <w:rFonts w:cstheme="minorHAnsi"/>
        </w:rPr>
        <w:t>the Contingency Calculator</w:t>
      </w:r>
      <w:r w:rsidRPr="00AC46C9">
        <w:rPr>
          <w:rFonts w:cstheme="minorHAnsi"/>
        </w:rPr>
        <w:t xml:space="preserve">. This is an explanatory note only. </w:t>
      </w:r>
    </w:p>
    <w:p w14:paraId="2CCE0ED8" w14:textId="77777777" w:rsidR="00AC46C9" w:rsidRPr="00AC46C9" w:rsidRDefault="00AC46C9" w:rsidP="00D02E22">
      <w:pPr>
        <w:spacing w:after="0"/>
        <w:jc w:val="both"/>
        <w:rPr>
          <w:rFonts w:cstheme="minorHAnsi"/>
          <w:i/>
          <w:u w:val="single"/>
        </w:rPr>
      </w:pPr>
    </w:p>
    <w:p w14:paraId="34972851" w14:textId="77777777" w:rsidR="00D02E22" w:rsidRDefault="00D02E22" w:rsidP="00D02E22">
      <w:pPr>
        <w:spacing w:after="0"/>
        <w:jc w:val="both"/>
        <w:rPr>
          <w:rFonts w:cstheme="minorHAnsi"/>
          <w:i/>
          <w:u w:val="single"/>
        </w:rPr>
      </w:pPr>
    </w:p>
    <w:p w14:paraId="67CE3738" w14:textId="5C6DF4C7" w:rsidR="0070490B" w:rsidRPr="00AC46C9" w:rsidRDefault="0070490B" w:rsidP="00D02E22">
      <w:pPr>
        <w:spacing w:after="0"/>
        <w:jc w:val="both"/>
        <w:rPr>
          <w:rFonts w:cstheme="minorHAnsi"/>
          <w:i/>
          <w:u w:val="single"/>
        </w:rPr>
      </w:pPr>
      <w:r w:rsidRPr="00AC46C9">
        <w:rPr>
          <w:rFonts w:cstheme="minorHAnsi"/>
          <w:i/>
          <w:u w:val="single"/>
        </w:rPr>
        <w:lastRenderedPageBreak/>
        <w:t xml:space="preserve">Step </w:t>
      </w:r>
      <w:r w:rsidR="009435F3">
        <w:rPr>
          <w:rFonts w:cstheme="minorHAnsi"/>
          <w:i/>
          <w:u w:val="single"/>
        </w:rPr>
        <w:t>7</w:t>
      </w:r>
      <w:r w:rsidRPr="00AC46C9">
        <w:rPr>
          <w:rFonts w:cstheme="minorHAnsi"/>
          <w:i/>
          <w:u w:val="single"/>
        </w:rPr>
        <w:t xml:space="preserve"> – Application of </w:t>
      </w:r>
      <w:r w:rsidR="00662FC0" w:rsidRPr="00AC46C9">
        <w:rPr>
          <w:rFonts w:cstheme="minorHAnsi"/>
          <w:i/>
          <w:u w:val="single"/>
        </w:rPr>
        <w:t xml:space="preserve">the </w:t>
      </w:r>
      <w:r w:rsidRPr="00AC46C9">
        <w:rPr>
          <w:rFonts w:cstheme="minorHAnsi"/>
          <w:i/>
          <w:u w:val="single"/>
        </w:rPr>
        <w:t>Contingency Percentage</w:t>
      </w:r>
    </w:p>
    <w:p w14:paraId="156D25AA" w14:textId="684DAC4B" w:rsidR="00CC35EB" w:rsidRDefault="00662FC0" w:rsidP="00D02E22">
      <w:pPr>
        <w:spacing w:after="0"/>
        <w:jc w:val="both"/>
        <w:rPr>
          <w:rFonts w:cstheme="minorHAnsi"/>
        </w:rPr>
      </w:pPr>
      <w:r w:rsidRPr="00AC46C9">
        <w:rPr>
          <w:rFonts w:cstheme="minorHAnsi"/>
        </w:rPr>
        <w:t>The capital costs of the project</w:t>
      </w:r>
      <w:r w:rsidR="00CC35EB" w:rsidRPr="00AC46C9">
        <w:rPr>
          <w:rFonts w:cstheme="minorHAnsi"/>
        </w:rPr>
        <w:t xml:space="preserve"> (excluding land)</w:t>
      </w:r>
      <w:r w:rsidRPr="00AC46C9">
        <w:rPr>
          <w:rFonts w:cstheme="minorHAnsi"/>
        </w:rPr>
        <w:t xml:space="preserve"> should be multiplied by the contingency percentage to establish the contingency value</w:t>
      </w:r>
      <w:r w:rsidR="001F00DD" w:rsidRPr="00AC46C9">
        <w:rPr>
          <w:rFonts w:cstheme="minorHAnsi"/>
        </w:rPr>
        <w:t xml:space="preserve"> to be</w:t>
      </w:r>
      <w:r w:rsidRPr="00AC46C9">
        <w:rPr>
          <w:rFonts w:cstheme="minorHAnsi"/>
        </w:rPr>
        <w:t xml:space="preserve"> incorporated in</w:t>
      </w:r>
      <w:r w:rsidR="001F00DD" w:rsidRPr="00AC46C9">
        <w:rPr>
          <w:rFonts w:cstheme="minorHAnsi"/>
        </w:rPr>
        <w:t>to</w:t>
      </w:r>
      <w:r w:rsidRPr="00AC46C9">
        <w:rPr>
          <w:rFonts w:cstheme="minorHAnsi"/>
        </w:rPr>
        <w:t xml:space="preserve"> each cost estimate. Each cost estimating template includes a section into which </w:t>
      </w:r>
      <w:r w:rsidR="00D02E22">
        <w:rPr>
          <w:rFonts w:cstheme="minorHAnsi"/>
        </w:rPr>
        <w:t>the</w:t>
      </w:r>
      <w:r w:rsidRPr="00AC46C9">
        <w:rPr>
          <w:rFonts w:cstheme="minorHAnsi"/>
        </w:rPr>
        <w:t xml:space="preserve"> user should insert the project contingency percentage and value.</w:t>
      </w:r>
      <w:r w:rsidRPr="00BB7048">
        <w:rPr>
          <w:rFonts w:cstheme="minorHAnsi"/>
        </w:rPr>
        <w:t xml:space="preserve"> </w:t>
      </w:r>
    </w:p>
    <w:p w14:paraId="06D79F27" w14:textId="77777777" w:rsidR="00B86763" w:rsidRDefault="00B86763" w:rsidP="00D02E22">
      <w:pPr>
        <w:spacing w:after="0"/>
        <w:jc w:val="both"/>
        <w:rPr>
          <w:rFonts w:cstheme="minorHAnsi"/>
        </w:rPr>
      </w:pPr>
    </w:p>
    <w:p w14:paraId="1953D4BA" w14:textId="54BAC07F" w:rsidR="0007374E" w:rsidRPr="0007374E" w:rsidRDefault="0007374E" w:rsidP="00D02E22">
      <w:pPr>
        <w:spacing w:after="0"/>
        <w:jc w:val="both"/>
        <w:rPr>
          <w:rFonts w:cstheme="minorHAnsi"/>
          <w:u w:val="single"/>
        </w:rPr>
      </w:pPr>
      <w:r w:rsidRPr="0007374E">
        <w:rPr>
          <w:rFonts w:cstheme="minorHAnsi"/>
          <w:u w:val="single"/>
        </w:rPr>
        <w:t xml:space="preserve">Note: Land </w:t>
      </w:r>
      <w:r>
        <w:rPr>
          <w:rFonts w:cstheme="minorHAnsi"/>
          <w:u w:val="single"/>
        </w:rPr>
        <w:t xml:space="preserve">and property </w:t>
      </w:r>
      <w:r w:rsidRPr="0007374E">
        <w:rPr>
          <w:rFonts w:cstheme="minorHAnsi"/>
          <w:u w:val="single"/>
        </w:rPr>
        <w:t>costs should and will be deemed to include contingency.</w:t>
      </w:r>
    </w:p>
    <w:p w14:paraId="17A63B82" w14:textId="77777777" w:rsidR="00CC35EB" w:rsidRPr="00BB7048" w:rsidRDefault="00CC35EB" w:rsidP="0070490B">
      <w:pPr>
        <w:spacing w:after="0"/>
        <w:jc w:val="both"/>
        <w:rPr>
          <w:rFonts w:cstheme="minorHAnsi"/>
        </w:rPr>
      </w:pPr>
    </w:p>
    <w:p w14:paraId="654F2608" w14:textId="5A2E16C5" w:rsidR="0070490B" w:rsidRPr="00BB7048" w:rsidRDefault="00B86763" w:rsidP="00A4516F">
      <w:pPr>
        <w:spacing w:after="0"/>
        <w:jc w:val="both"/>
        <w:rPr>
          <w:rFonts w:cstheme="minorHAnsi"/>
        </w:rPr>
      </w:pPr>
      <w:r w:rsidRPr="0007374E">
        <w:rPr>
          <w:rFonts w:cstheme="minorHAnsi"/>
          <w:u w:val="single"/>
        </w:rPr>
        <w:t xml:space="preserve">Note: </w:t>
      </w:r>
      <w:r w:rsidR="00ED6CCF">
        <w:rPr>
          <w:rFonts w:cstheme="minorHAnsi"/>
          <w:u w:val="single"/>
        </w:rPr>
        <w:t>T</w:t>
      </w:r>
      <w:r>
        <w:rPr>
          <w:rFonts w:cstheme="minorHAnsi"/>
          <w:u w:val="single"/>
        </w:rPr>
        <w:t>he default position in the Cost Management Guidelines is to apply contingency to all costs (excluding land), including risk</w:t>
      </w:r>
      <w:r w:rsidR="00ED6CCF">
        <w:rPr>
          <w:rFonts w:cstheme="minorHAnsi"/>
          <w:u w:val="single"/>
        </w:rPr>
        <w:t>. However,</w:t>
      </w:r>
      <w:r>
        <w:rPr>
          <w:rFonts w:cstheme="minorHAnsi"/>
          <w:u w:val="single"/>
        </w:rPr>
        <w:t xml:space="preserve"> </w:t>
      </w:r>
      <w:r w:rsidR="00ED6CCF">
        <w:rPr>
          <w:rFonts w:cstheme="minorHAnsi"/>
          <w:u w:val="single"/>
        </w:rPr>
        <w:t xml:space="preserve">if </w:t>
      </w:r>
      <w:r>
        <w:rPr>
          <w:rFonts w:cstheme="minorHAnsi"/>
          <w:u w:val="single"/>
        </w:rPr>
        <w:t>a</w:t>
      </w:r>
      <w:r w:rsidR="00ED6CCF">
        <w:rPr>
          <w:rFonts w:cstheme="minorHAnsi"/>
          <w:u w:val="single"/>
        </w:rPr>
        <w:t xml:space="preserve"> thorough and</w:t>
      </w:r>
      <w:r>
        <w:rPr>
          <w:rFonts w:cstheme="minorHAnsi"/>
          <w:u w:val="single"/>
        </w:rPr>
        <w:t xml:space="preserve"> robust risk assessment has been</w:t>
      </w:r>
      <w:r w:rsidR="00ED6CCF">
        <w:rPr>
          <w:rFonts w:cstheme="minorHAnsi"/>
          <w:u w:val="single"/>
        </w:rPr>
        <w:t xml:space="preserve"> undertaken the Sponsoring Agency may not be required to apply contingency to risk. It is anticipated that this principle will be agreed with the NTA in advance of the Sponsoring Agency submitting the respective cost estimate. </w:t>
      </w:r>
    </w:p>
    <w:sectPr w:rsidR="0070490B" w:rsidRPr="00BB704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17B85" w14:textId="77777777" w:rsidR="00D76548" w:rsidRDefault="00D76548" w:rsidP="0082742C">
      <w:pPr>
        <w:spacing w:after="0" w:line="240" w:lineRule="auto"/>
      </w:pPr>
      <w:r>
        <w:separator/>
      </w:r>
    </w:p>
  </w:endnote>
  <w:endnote w:type="continuationSeparator" w:id="0">
    <w:p w14:paraId="635A2C5D" w14:textId="77777777" w:rsidR="00D76548" w:rsidRDefault="00D76548" w:rsidP="00827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32A1B" w14:textId="77777777" w:rsidR="00D76548" w:rsidRDefault="00D76548" w:rsidP="0082742C">
      <w:pPr>
        <w:spacing w:after="0" w:line="240" w:lineRule="auto"/>
      </w:pPr>
      <w:r>
        <w:separator/>
      </w:r>
    </w:p>
  </w:footnote>
  <w:footnote w:type="continuationSeparator" w:id="0">
    <w:p w14:paraId="1C95956C" w14:textId="77777777" w:rsidR="00D76548" w:rsidRDefault="00D76548" w:rsidP="00827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21C9" w14:textId="77777777" w:rsidR="00022FDD" w:rsidRDefault="00022FDD">
    <w:pPr>
      <w:pStyle w:val="Header"/>
    </w:pPr>
    <w:r>
      <w:ptab w:relativeTo="margin" w:alignment="center" w:leader="none"/>
    </w:r>
    <w:r>
      <w:ptab w:relativeTo="margin" w:alignment="right" w:leader="none"/>
    </w:r>
    <w:r>
      <w:rPr>
        <w:noProof/>
      </w:rPr>
      <w:drawing>
        <wp:inline distT="0" distB="0" distL="0" distR="0" wp14:anchorId="4D3CB81D" wp14:editId="2D6FFC5D">
          <wp:extent cx="1069144" cy="731520"/>
          <wp:effectExtent l="0" t="0" r="0" b="0"/>
          <wp:docPr id="3" name="Picture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a:picLocks/>
                  </pic:cNvPicPr>
                </pic:nvPicPr>
                <pic:blipFill rotWithShape="1">
                  <a:blip r:embed="rId1"/>
                  <a:srcRect l="-719" t="14854" r="719" b="17045"/>
                  <a:stretch/>
                </pic:blipFill>
                <pic:spPr>
                  <a:xfrm>
                    <a:off x="0" y="0"/>
                    <a:ext cx="1078784" cy="7381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F6F6C"/>
    <w:multiLevelType w:val="hybridMultilevel"/>
    <w:tmpl w:val="886E61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E3B14F0"/>
    <w:multiLevelType w:val="hybridMultilevel"/>
    <w:tmpl w:val="0582B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4D2D99"/>
    <w:multiLevelType w:val="hybridMultilevel"/>
    <w:tmpl w:val="FCB2F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F8"/>
    <w:rsid w:val="00012C7A"/>
    <w:rsid w:val="000152F0"/>
    <w:rsid w:val="00022FDD"/>
    <w:rsid w:val="00026BA7"/>
    <w:rsid w:val="00051A1D"/>
    <w:rsid w:val="00056167"/>
    <w:rsid w:val="00061AEA"/>
    <w:rsid w:val="00064DC2"/>
    <w:rsid w:val="00071FC1"/>
    <w:rsid w:val="0007374E"/>
    <w:rsid w:val="000A38A7"/>
    <w:rsid w:val="000A6DD1"/>
    <w:rsid w:val="000C50B0"/>
    <w:rsid w:val="000D0D91"/>
    <w:rsid w:val="000E6CAB"/>
    <w:rsid w:val="000E6D11"/>
    <w:rsid w:val="000F4619"/>
    <w:rsid w:val="00100A99"/>
    <w:rsid w:val="00101111"/>
    <w:rsid w:val="00105925"/>
    <w:rsid w:val="00107C2D"/>
    <w:rsid w:val="001148E7"/>
    <w:rsid w:val="00125BE1"/>
    <w:rsid w:val="00127CD4"/>
    <w:rsid w:val="00132C1C"/>
    <w:rsid w:val="00155A87"/>
    <w:rsid w:val="00161595"/>
    <w:rsid w:val="00171D23"/>
    <w:rsid w:val="00172B1D"/>
    <w:rsid w:val="00176677"/>
    <w:rsid w:val="00176B23"/>
    <w:rsid w:val="0018278C"/>
    <w:rsid w:val="00185194"/>
    <w:rsid w:val="00195318"/>
    <w:rsid w:val="001A1C82"/>
    <w:rsid w:val="001A50AC"/>
    <w:rsid w:val="001A5B00"/>
    <w:rsid w:val="001A5D9C"/>
    <w:rsid w:val="001B058F"/>
    <w:rsid w:val="001C1588"/>
    <w:rsid w:val="001C6BB6"/>
    <w:rsid w:val="001C7865"/>
    <w:rsid w:val="001E676D"/>
    <w:rsid w:val="001F00DD"/>
    <w:rsid w:val="0020486D"/>
    <w:rsid w:val="00205A5D"/>
    <w:rsid w:val="00222D48"/>
    <w:rsid w:val="00226C33"/>
    <w:rsid w:val="00226EDD"/>
    <w:rsid w:val="00227E43"/>
    <w:rsid w:val="002334EC"/>
    <w:rsid w:val="00235742"/>
    <w:rsid w:val="002371F8"/>
    <w:rsid w:val="00253623"/>
    <w:rsid w:val="00262ACD"/>
    <w:rsid w:val="002B11A3"/>
    <w:rsid w:val="002D2C72"/>
    <w:rsid w:val="002E3CC6"/>
    <w:rsid w:val="002E6F86"/>
    <w:rsid w:val="00302883"/>
    <w:rsid w:val="00310D3B"/>
    <w:rsid w:val="003150EE"/>
    <w:rsid w:val="00320BBE"/>
    <w:rsid w:val="0032140E"/>
    <w:rsid w:val="00323256"/>
    <w:rsid w:val="00331511"/>
    <w:rsid w:val="0033551D"/>
    <w:rsid w:val="003461BD"/>
    <w:rsid w:val="003510B1"/>
    <w:rsid w:val="00357006"/>
    <w:rsid w:val="003A0091"/>
    <w:rsid w:val="003A5046"/>
    <w:rsid w:val="003B748E"/>
    <w:rsid w:val="003C39A1"/>
    <w:rsid w:val="003C5CD3"/>
    <w:rsid w:val="003D73BD"/>
    <w:rsid w:val="003E6CC9"/>
    <w:rsid w:val="00406CB8"/>
    <w:rsid w:val="00444E8B"/>
    <w:rsid w:val="00447520"/>
    <w:rsid w:val="004B1C7D"/>
    <w:rsid w:val="004C67A2"/>
    <w:rsid w:val="004D03E8"/>
    <w:rsid w:val="004D0A17"/>
    <w:rsid w:val="004E586F"/>
    <w:rsid w:val="004F6BB6"/>
    <w:rsid w:val="004F77E4"/>
    <w:rsid w:val="00520283"/>
    <w:rsid w:val="00526A98"/>
    <w:rsid w:val="00541EFA"/>
    <w:rsid w:val="00546F33"/>
    <w:rsid w:val="0055351D"/>
    <w:rsid w:val="00557C91"/>
    <w:rsid w:val="005B222B"/>
    <w:rsid w:val="005C1898"/>
    <w:rsid w:val="005C3BA3"/>
    <w:rsid w:val="005E04FE"/>
    <w:rsid w:val="00600EF8"/>
    <w:rsid w:val="00605785"/>
    <w:rsid w:val="006202C9"/>
    <w:rsid w:val="00631466"/>
    <w:rsid w:val="0064189F"/>
    <w:rsid w:val="00645AF8"/>
    <w:rsid w:val="0064709B"/>
    <w:rsid w:val="00652795"/>
    <w:rsid w:val="00662FC0"/>
    <w:rsid w:val="00676FA8"/>
    <w:rsid w:val="0068056B"/>
    <w:rsid w:val="006B1E07"/>
    <w:rsid w:val="006C6823"/>
    <w:rsid w:val="006D61D5"/>
    <w:rsid w:val="006E3786"/>
    <w:rsid w:val="006E3EC7"/>
    <w:rsid w:val="006E563C"/>
    <w:rsid w:val="006E7578"/>
    <w:rsid w:val="006F7DD3"/>
    <w:rsid w:val="00700F28"/>
    <w:rsid w:val="007034C6"/>
    <w:rsid w:val="0070490B"/>
    <w:rsid w:val="0072485A"/>
    <w:rsid w:val="007267E5"/>
    <w:rsid w:val="00727497"/>
    <w:rsid w:val="00731C7A"/>
    <w:rsid w:val="00771B22"/>
    <w:rsid w:val="00772D5A"/>
    <w:rsid w:val="00781DDC"/>
    <w:rsid w:val="0078206C"/>
    <w:rsid w:val="00793271"/>
    <w:rsid w:val="007A3769"/>
    <w:rsid w:val="007A37C7"/>
    <w:rsid w:val="007A6846"/>
    <w:rsid w:val="007C61BD"/>
    <w:rsid w:val="007D1062"/>
    <w:rsid w:val="007D3CC9"/>
    <w:rsid w:val="007E66E5"/>
    <w:rsid w:val="007F1729"/>
    <w:rsid w:val="007F1E51"/>
    <w:rsid w:val="00805A0C"/>
    <w:rsid w:val="00823E88"/>
    <w:rsid w:val="0082742C"/>
    <w:rsid w:val="008405E2"/>
    <w:rsid w:val="008410A8"/>
    <w:rsid w:val="00846175"/>
    <w:rsid w:val="008539DC"/>
    <w:rsid w:val="00857FE8"/>
    <w:rsid w:val="00863C11"/>
    <w:rsid w:val="008802E8"/>
    <w:rsid w:val="00881014"/>
    <w:rsid w:val="008A3BEF"/>
    <w:rsid w:val="008B49DE"/>
    <w:rsid w:val="008D05C5"/>
    <w:rsid w:val="008D2B7F"/>
    <w:rsid w:val="008D768C"/>
    <w:rsid w:val="008E549A"/>
    <w:rsid w:val="00911EB3"/>
    <w:rsid w:val="0092073F"/>
    <w:rsid w:val="0093546B"/>
    <w:rsid w:val="009411E6"/>
    <w:rsid w:val="009435F3"/>
    <w:rsid w:val="00944B30"/>
    <w:rsid w:val="00985E4D"/>
    <w:rsid w:val="00992516"/>
    <w:rsid w:val="009A1252"/>
    <w:rsid w:val="009A4D49"/>
    <w:rsid w:val="009A6C1A"/>
    <w:rsid w:val="009B3F99"/>
    <w:rsid w:val="009D4D54"/>
    <w:rsid w:val="009D5911"/>
    <w:rsid w:val="009D79C5"/>
    <w:rsid w:val="009E0264"/>
    <w:rsid w:val="009E472A"/>
    <w:rsid w:val="009E563E"/>
    <w:rsid w:val="009F38E3"/>
    <w:rsid w:val="00A00637"/>
    <w:rsid w:val="00A0339C"/>
    <w:rsid w:val="00A077CD"/>
    <w:rsid w:val="00A11EBC"/>
    <w:rsid w:val="00A17E89"/>
    <w:rsid w:val="00A37015"/>
    <w:rsid w:val="00A4516F"/>
    <w:rsid w:val="00A45941"/>
    <w:rsid w:val="00A55565"/>
    <w:rsid w:val="00A722DE"/>
    <w:rsid w:val="00A84BC8"/>
    <w:rsid w:val="00A95604"/>
    <w:rsid w:val="00AA2CB2"/>
    <w:rsid w:val="00AB77EA"/>
    <w:rsid w:val="00AC46C9"/>
    <w:rsid w:val="00AD6D3E"/>
    <w:rsid w:val="00AE122A"/>
    <w:rsid w:val="00AF1B44"/>
    <w:rsid w:val="00B075A7"/>
    <w:rsid w:val="00B21EB8"/>
    <w:rsid w:val="00B27366"/>
    <w:rsid w:val="00B3642B"/>
    <w:rsid w:val="00B3701F"/>
    <w:rsid w:val="00B42018"/>
    <w:rsid w:val="00B43B2D"/>
    <w:rsid w:val="00B4416F"/>
    <w:rsid w:val="00B53924"/>
    <w:rsid w:val="00B602D4"/>
    <w:rsid w:val="00B73A49"/>
    <w:rsid w:val="00B80638"/>
    <w:rsid w:val="00B858C4"/>
    <w:rsid w:val="00B86763"/>
    <w:rsid w:val="00B86E0A"/>
    <w:rsid w:val="00B86F72"/>
    <w:rsid w:val="00B92C62"/>
    <w:rsid w:val="00BA3A72"/>
    <w:rsid w:val="00BB7048"/>
    <w:rsid w:val="00BC7069"/>
    <w:rsid w:val="00BD0304"/>
    <w:rsid w:val="00BE28E5"/>
    <w:rsid w:val="00BE4E02"/>
    <w:rsid w:val="00BE59B2"/>
    <w:rsid w:val="00C01DBE"/>
    <w:rsid w:val="00C101E1"/>
    <w:rsid w:val="00C137DF"/>
    <w:rsid w:val="00C37B9C"/>
    <w:rsid w:val="00C4499C"/>
    <w:rsid w:val="00C60BD1"/>
    <w:rsid w:val="00C65EA9"/>
    <w:rsid w:val="00CB27C0"/>
    <w:rsid w:val="00CC3515"/>
    <w:rsid w:val="00CC35EB"/>
    <w:rsid w:val="00CC799A"/>
    <w:rsid w:val="00CE1D64"/>
    <w:rsid w:val="00CE4E3C"/>
    <w:rsid w:val="00CE6D01"/>
    <w:rsid w:val="00CF5B88"/>
    <w:rsid w:val="00D02081"/>
    <w:rsid w:val="00D02E22"/>
    <w:rsid w:val="00D234E9"/>
    <w:rsid w:val="00D2710A"/>
    <w:rsid w:val="00D31924"/>
    <w:rsid w:val="00D43D6E"/>
    <w:rsid w:val="00D45660"/>
    <w:rsid w:val="00D53DEE"/>
    <w:rsid w:val="00D570EC"/>
    <w:rsid w:val="00D64F3F"/>
    <w:rsid w:val="00D65D76"/>
    <w:rsid w:val="00D76548"/>
    <w:rsid w:val="00D76C58"/>
    <w:rsid w:val="00D812F3"/>
    <w:rsid w:val="00D9717B"/>
    <w:rsid w:val="00D975A5"/>
    <w:rsid w:val="00DA6B69"/>
    <w:rsid w:val="00DB2A81"/>
    <w:rsid w:val="00DB41FC"/>
    <w:rsid w:val="00DC1921"/>
    <w:rsid w:val="00DD07B8"/>
    <w:rsid w:val="00DD5B42"/>
    <w:rsid w:val="00DD6472"/>
    <w:rsid w:val="00DE4FF3"/>
    <w:rsid w:val="00DE64CC"/>
    <w:rsid w:val="00DF07E8"/>
    <w:rsid w:val="00DF3444"/>
    <w:rsid w:val="00E05D9F"/>
    <w:rsid w:val="00E10C44"/>
    <w:rsid w:val="00E13925"/>
    <w:rsid w:val="00E15430"/>
    <w:rsid w:val="00E1690D"/>
    <w:rsid w:val="00E258C7"/>
    <w:rsid w:val="00E532D3"/>
    <w:rsid w:val="00E55910"/>
    <w:rsid w:val="00E5745A"/>
    <w:rsid w:val="00E639B7"/>
    <w:rsid w:val="00E63F02"/>
    <w:rsid w:val="00E84D52"/>
    <w:rsid w:val="00E90065"/>
    <w:rsid w:val="00E90B03"/>
    <w:rsid w:val="00E97950"/>
    <w:rsid w:val="00EA007F"/>
    <w:rsid w:val="00EA2B4F"/>
    <w:rsid w:val="00EB1C69"/>
    <w:rsid w:val="00EC026E"/>
    <w:rsid w:val="00ED0F23"/>
    <w:rsid w:val="00ED616E"/>
    <w:rsid w:val="00ED6CCF"/>
    <w:rsid w:val="00EF3EAD"/>
    <w:rsid w:val="00F06032"/>
    <w:rsid w:val="00F12FC7"/>
    <w:rsid w:val="00F27F00"/>
    <w:rsid w:val="00F34667"/>
    <w:rsid w:val="00F42D44"/>
    <w:rsid w:val="00F431E8"/>
    <w:rsid w:val="00F454E6"/>
    <w:rsid w:val="00F459A6"/>
    <w:rsid w:val="00F83FAB"/>
    <w:rsid w:val="00F8408C"/>
    <w:rsid w:val="00F87723"/>
    <w:rsid w:val="00FB4776"/>
    <w:rsid w:val="00FC2781"/>
    <w:rsid w:val="00FC33F8"/>
    <w:rsid w:val="00FD2319"/>
    <w:rsid w:val="00FD2492"/>
    <w:rsid w:val="00FD2747"/>
    <w:rsid w:val="00FD5AAA"/>
    <w:rsid w:val="00FF4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38B2"/>
  <w15:chartTrackingRefBased/>
  <w15:docId w15:val="{01F3F8CE-27C0-43A8-9BC6-E22C201A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42C"/>
  </w:style>
  <w:style w:type="paragraph" w:styleId="Footer">
    <w:name w:val="footer"/>
    <w:basedOn w:val="Normal"/>
    <w:link w:val="FooterChar"/>
    <w:uiPriority w:val="99"/>
    <w:unhideWhenUsed/>
    <w:rsid w:val="00827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42C"/>
  </w:style>
  <w:style w:type="paragraph" w:styleId="ListParagraph">
    <w:name w:val="List Paragraph"/>
    <w:basedOn w:val="Normal"/>
    <w:uiPriority w:val="34"/>
    <w:qFormat/>
    <w:rsid w:val="007A6846"/>
    <w:pPr>
      <w:ind w:left="720"/>
      <w:contextualSpacing/>
    </w:pPr>
  </w:style>
  <w:style w:type="paragraph" w:styleId="BalloonText">
    <w:name w:val="Balloon Text"/>
    <w:basedOn w:val="Normal"/>
    <w:link w:val="BalloonTextChar"/>
    <w:uiPriority w:val="99"/>
    <w:semiHidden/>
    <w:unhideWhenUsed/>
    <w:rsid w:val="00233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4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AC1A7A2-510E-4682-9001-E2724EF9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Paudraic O'Hagan</dc:creator>
  <cp:keywords/>
  <dc:description/>
  <cp:lastModifiedBy>Paudraic O'Hagan</cp:lastModifiedBy>
  <cp:revision>2</cp:revision>
  <cp:lastPrinted>2021-03-11T13:28:00Z</cp:lastPrinted>
  <dcterms:created xsi:type="dcterms:W3CDTF">2021-09-17T14:33:00Z</dcterms:created>
  <dcterms:modified xsi:type="dcterms:W3CDTF">2021-09-17T14:33:00Z</dcterms:modified>
</cp:coreProperties>
</file>