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ICO" ContentType="image/.ic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73D6F" w14:textId="7BF671A7" w:rsidR="009F7FCE" w:rsidRPr="00EE426C" w:rsidRDefault="009D77CB" w:rsidP="00F5587E">
      <w:pPr>
        <w:pStyle w:val="papertitle"/>
      </w:pPr>
      <w:bookmarkStart w:id="0" w:name="_GoBack"/>
      <w:bookmarkEnd w:id="0"/>
      <w:r>
        <w:t>A Programmatic Approach for the Delivery of Public Transport Policy in Ireland.</w:t>
      </w:r>
    </w:p>
    <w:p w14:paraId="4B2C8D69" w14:textId="4A59CE33" w:rsidR="006F3FDB" w:rsidRDefault="009D77CB" w:rsidP="00723D69">
      <w:pPr>
        <w:pStyle w:val="author"/>
      </w:pPr>
      <w:r>
        <w:t>Juan Martinez-Covarrubias</w:t>
      </w:r>
      <w:r w:rsidRPr="008A6621">
        <w:rPr>
          <w:vertAlign w:val="superscript"/>
        </w:rPr>
        <w:t>a</w:t>
      </w:r>
      <w:r>
        <w:rPr>
          <w:vertAlign w:val="superscript"/>
        </w:rPr>
        <w:t xml:space="preserve">, </w:t>
      </w:r>
      <w:r w:rsidR="00841E5F">
        <w:rPr>
          <w:vertAlign w:val="superscript"/>
        </w:rPr>
        <w:t>c</w:t>
      </w:r>
      <w:r>
        <w:rPr>
          <w:vertAlign w:val="superscript"/>
        </w:rPr>
        <w:t>*</w:t>
      </w:r>
      <w:r w:rsidRPr="008A6621">
        <w:footnoteReference w:id="1"/>
      </w:r>
      <w:r>
        <w:t>, Y</w:t>
      </w:r>
      <w:r w:rsidR="006F3FDB">
        <w:t>eonjung Song</w:t>
      </w:r>
      <w:r w:rsidR="00841E5F">
        <w:t xml:space="preserve"> </w:t>
      </w:r>
      <w:r w:rsidR="00841E5F">
        <w:rPr>
          <w:vertAlign w:val="superscript"/>
        </w:rPr>
        <w:t>b</w:t>
      </w:r>
      <w:r w:rsidR="006F3FDB">
        <w:rPr>
          <w:vertAlign w:val="superscript"/>
        </w:rPr>
        <w:t xml:space="preserve">, </w:t>
      </w:r>
      <w:r w:rsidR="00841E5F">
        <w:rPr>
          <w:vertAlign w:val="superscript"/>
        </w:rPr>
        <w:t>d</w:t>
      </w:r>
      <w:r w:rsidR="006F3FDB" w:rsidRPr="008A6621">
        <w:t xml:space="preserve">, </w:t>
      </w:r>
      <w:r>
        <w:t>Mark Connolly</w:t>
      </w:r>
      <w:r w:rsidR="00E16605">
        <w:rPr>
          <w:vertAlign w:val="superscript"/>
        </w:rPr>
        <w:t>d</w:t>
      </w:r>
      <w:r w:rsidR="006F3FDB" w:rsidRPr="008A6621">
        <w:t xml:space="preserve">, </w:t>
      </w:r>
      <w:r>
        <w:t>Catherine Murray</w:t>
      </w:r>
      <w:r w:rsidR="00E16605">
        <w:rPr>
          <w:vertAlign w:val="superscript"/>
        </w:rPr>
        <w:t>d</w:t>
      </w:r>
    </w:p>
    <w:p w14:paraId="2375B24B" w14:textId="0C3F807C" w:rsidR="00841E5F" w:rsidRPr="00841E5F" w:rsidRDefault="006F3FDB" w:rsidP="00841E5F">
      <w:pPr>
        <w:pStyle w:val="Affiliation"/>
        <w:rPr>
          <w:rFonts w:eastAsia="Times New Roman"/>
          <w:i w:val="0"/>
          <w:noProof w:val="0"/>
          <w:sz w:val="18"/>
        </w:rPr>
      </w:pPr>
      <w:r w:rsidRPr="006F3FDB">
        <w:rPr>
          <w:i w:val="0"/>
          <w:vertAlign w:val="superscript"/>
        </w:rPr>
        <w:t>a</w:t>
      </w:r>
      <w:r>
        <w:rPr>
          <w:i w:val="0"/>
          <w:vertAlign w:val="superscript"/>
        </w:rPr>
        <w:t xml:space="preserve"> </w:t>
      </w:r>
      <w:r w:rsidRPr="006F3FDB">
        <w:rPr>
          <w:rFonts w:eastAsia="Times New Roman"/>
          <w:i w:val="0"/>
          <w:noProof w:val="0"/>
          <w:sz w:val="18"/>
        </w:rPr>
        <w:t>National Transport Authority, Ireland</w:t>
      </w:r>
      <w:r w:rsidR="00841E5F">
        <w:rPr>
          <w:rFonts w:eastAsia="Times New Roman"/>
          <w:i w:val="0"/>
          <w:noProof w:val="0"/>
          <w:sz w:val="18"/>
        </w:rPr>
        <w:t xml:space="preserve"> </w:t>
      </w:r>
    </w:p>
    <w:p w14:paraId="52B059B2" w14:textId="20C9CB12" w:rsidR="006F3FDB" w:rsidRPr="006F3FDB" w:rsidRDefault="006F3FDB" w:rsidP="006F3FDB">
      <w:pPr>
        <w:pStyle w:val="Affiliation"/>
        <w:rPr>
          <w:rFonts w:eastAsia="Times New Roman"/>
          <w:i w:val="0"/>
          <w:noProof w:val="0"/>
          <w:sz w:val="18"/>
        </w:rPr>
      </w:pPr>
      <w:r w:rsidRPr="006F3FDB">
        <w:rPr>
          <w:i w:val="0"/>
          <w:vertAlign w:val="superscript"/>
        </w:rPr>
        <w:t>b</w:t>
      </w:r>
      <w:r>
        <w:rPr>
          <w:i w:val="0"/>
          <w:vertAlign w:val="superscript"/>
        </w:rPr>
        <w:t xml:space="preserve"> </w:t>
      </w:r>
      <w:r w:rsidR="00841E5F">
        <w:rPr>
          <w:rFonts w:eastAsia="Times New Roman"/>
          <w:i w:val="0"/>
          <w:noProof w:val="0"/>
          <w:sz w:val="18"/>
        </w:rPr>
        <w:t>Department of Transport, Ireland</w:t>
      </w:r>
      <w:r w:rsidR="00841E5F" w:rsidRPr="006F3FDB">
        <w:rPr>
          <w:rFonts w:eastAsia="Times New Roman"/>
          <w:i w:val="0"/>
          <w:noProof w:val="0"/>
          <w:sz w:val="18"/>
        </w:rPr>
        <w:t xml:space="preserve"> </w:t>
      </w:r>
    </w:p>
    <w:p w14:paraId="526DE34B" w14:textId="2CCFEFE6" w:rsidR="006F3FDB" w:rsidRPr="006F3FDB" w:rsidRDefault="006F3FDB" w:rsidP="006F3FDB">
      <w:pPr>
        <w:pStyle w:val="Affiliation"/>
        <w:rPr>
          <w:rFonts w:eastAsia="Times New Roman"/>
          <w:i w:val="0"/>
          <w:noProof w:val="0"/>
          <w:sz w:val="18"/>
        </w:rPr>
      </w:pPr>
      <w:r w:rsidRPr="006F3FDB">
        <w:rPr>
          <w:i w:val="0"/>
          <w:vertAlign w:val="superscript"/>
        </w:rPr>
        <w:t>c</w:t>
      </w:r>
      <w:r>
        <w:rPr>
          <w:i w:val="0"/>
          <w:vertAlign w:val="superscript"/>
        </w:rPr>
        <w:t xml:space="preserve"> </w:t>
      </w:r>
      <w:r w:rsidR="00841E5F" w:rsidRPr="006F3FDB">
        <w:rPr>
          <w:rFonts w:eastAsia="Times New Roman"/>
          <w:i w:val="0"/>
          <w:noProof w:val="0"/>
          <w:sz w:val="18"/>
        </w:rPr>
        <w:t xml:space="preserve">American University, </w:t>
      </w:r>
      <w:r w:rsidR="00841E5F">
        <w:rPr>
          <w:rFonts w:eastAsia="Times New Roman"/>
          <w:i w:val="0"/>
          <w:noProof w:val="0"/>
          <w:sz w:val="18"/>
        </w:rPr>
        <w:t>Washington</w:t>
      </w:r>
      <w:r w:rsidR="00841E5F" w:rsidRPr="006F3FDB">
        <w:rPr>
          <w:rFonts w:eastAsia="Times New Roman"/>
          <w:i w:val="0"/>
          <w:noProof w:val="0"/>
          <w:sz w:val="18"/>
        </w:rPr>
        <w:t xml:space="preserve"> DC, United of States </w:t>
      </w:r>
    </w:p>
    <w:p w14:paraId="63E60F99" w14:textId="77777777" w:rsidR="00841E5F" w:rsidRDefault="006F3FDB" w:rsidP="006F3FDB">
      <w:pPr>
        <w:pStyle w:val="Affiliation"/>
        <w:rPr>
          <w:rFonts w:eastAsia="Times New Roman"/>
          <w:i w:val="0"/>
          <w:noProof w:val="0"/>
          <w:sz w:val="18"/>
        </w:rPr>
      </w:pPr>
      <w:r w:rsidRPr="006F3FDB">
        <w:rPr>
          <w:i w:val="0"/>
          <w:vertAlign w:val="superscript"/>
        </w:rPr>
        <w:t>d</w:t>
      </w:r>
      <w:r>
        <w:rPr>
          <w:i w:val="0"/>
          <w:vertAlign w:val="superscript"/>
        </w:rPr>
        <w:t xml:space="preserve"> </w:t>
      </w:r>
      <w:r w:rsidR="00841E5F" w:rsidRPr="006F3FDB">
        <w:rPr>
          <w:rFonts w:eastAsia="Times New Roman"/>
          <w:i w:val="0"/>
          <w:noProof w:val="0"/>
          <w:sz w:val="18"/>
        </w:rPr>
        <w:t>Kobe University, Kobe, Japan</w:t>
      </w:r>
      <w:r w:rsidR="00841E5F" w:rsidRPr="00E16605">
        <w:rPr>
          <w:rFonts w:eastAsia="Times New Roman"/>
          <w:i w:val="0"/>
          <w:noProof w:val="0"/>
          <w:sz w:val="18"/>
        </w:rPr>
        <w:t xml:space="preserve"> </w:t>
      </w:r>
    </w:p>
    <w:p w14:paraId="5CB5A815" w14:textId="30D68316" w:rsidR="006F3FDB" w:rsidRDefault="00841E5F" w:rsidP="006F3FDB">
      <w:pPr>
        <w:pStyle w:val="Affiliation"/>
        <w:rPr>
          <w:rFonts w:eastAsia="Times New Roman"/>
          <w:i w:val="0"/>
          <w:noProof w:val="0"/>
          <w:sz w:val="18"/>
        </w:rPr>
      </w:pPr>
      <w:r w:rsidRPr="00841E5F">
        <w:rPr>
          <w:rFonts w:eastAsia="Times New Roman"/>
          <w:i w:val="0"/>
          <w:noProof w:val="0"/>
          <w:sz w:val="18"/>
          <w:vertAlign w:val="superscript"/>
        </w:rPr>
        <w:t>e</w:t>
      </w:r>
      <w:r>
        <w:rPr>
          <w:rFonts w:eastAsia="Times New Roman"/>
          <w:i w:val="0"/>
          <w:noProof w:val="0"/>
          <w:sz w:val="18"/>
        </w:rPr>
        <w:t xml:space="preserve"> </w:t>
      </w:r>
      <w:r w:rsidR="00E16605" w:rsidRPr="00E16605">
        <w:rPr>
          <w:rFonts w:eastAsia="Times New Roman"/>
          <w:i w:val="0"/>
          <w:noProof w:val="0"/>
          <w:sz w:val="18"/>
        </w:rPr>
        <w:t>AECOM</w:t>
      </w:r>
      <w:r w:rsidR="00E16605">
        <w:rPr>
          <w:rFonts w:eastAsia="Times New Roman"/>
          <w:i w:val="0"/>
          <w:noProof w:val="0"/>
          <w:sz w:val="18"/>
        </w:rPr>
        <w:t>, Ireland</w:t>
      </w:r>
    </w:p>
    <w:p w14:paraId="5F5EA855" w14:textId="77777777" w:rsidR="00841E5F" w:rsidRPr="00841E5F" w:rsidRDefault="00841E5F" w:rsidP="00841E5F"/>
    <w:p w14:paraId="3FFE26CA" w14:textId="77777777" w:rsidR="00F5587E" w:rsidRPr="006809AE" w:rsidRDefault="009B2539" w:rsidP="00F5587E">
      <w:pPr>
        <w:pStyle w:val="address"/>
      </w:pPr>
      <w:r w:rsidRPr="006809AE">
        <w:rPr>
          <w:rStyle w:val="e-mail"/>
        </w:rPr>
        <w:t>lncs@springer.com</w:t>
      </w:r>
    </w:p>
    <w:p w14:paraId="1422E236" w14:textId="79C7B4AA" w:rsidR="00F5587E" w:rsidRPr="00EE426C" w:rsidRDefault="009B2539" w:rsidP="006F3FDB">
      <w:pPr>
        <w:pStyle w:val="abstract"/>
        <w:ind w:firstLine="0"/>
      </w:pPr>
      <w:r w:rsidRPr="00EE426C">
        <w:rPr>
          <w:b/>
          <w:bCs/>
        </w:rPr>
        <w:t xml:space="preserve">Abstract. </w:t>
      </w:r>
      <w:r w:rsidR="00E16605" w:rsidRPr="00E16605">
        <w:t xml:space="preserve">Moving from plan to action seems a trivial affair. However, when vast resources are mobilised to deliver the transformation </w:t>
      </w:r>
      <w:r w:rsidR="00AA7365">
        <w:t xml:space="preserve">to sustainable mobility </w:t>
      </w:r>
      <w:r w:rsidR="00E16605" w:rsidRPr="00E16605">
        <w:t xml:space="preserve">this is not so trivial. </w:t>
      </w:r>
      <w:r w:rsidR="00AA7365">
        <w:t>T</w:t>
      </w:r>
      <w:r w:rsidR="00E16605" w:rsidRPr="00E16605">
        <w:t xml:space="preserve">he Government of the Republic of Ireland </w:t>
      </w:r>
      <w:r w:rsidR="00AA7365">
        <w:t xml:space="preserve">is currently </w:t>
      </w:r>
      <w:r w:rsidR="00E16605" w:rsidRPr="00E16605">
        <w:t>inves</w:t>
      </w:r>
      <w:r w:rsidR="00AA7365">
        <w:t>ting</w:t>
      </w:r>
      <w:r w:rsidR="00E16605" w:rsidRPr="00E16605">
        <w:t xml:space="preserve"> </w:t>
      </w:r>
      <w:r w:rsidR="00AA7365">
        <w:t>around</w:t>
      </w:r>
      <w:r w:rsidR="00E16605" w:rsidRPr="00E16605">
        <w:t xml:space="preserve"> €165 billion for infrastructure development over the next 10 years, with more than 20 percent allocated to the transport sector. Key policies provide the ambition and direction for such mobilisation: the National Sustainable Mobility policy (NSMP) and the National Investment Framework for Transport in Ireland (NIFTI). In addition the </w:t>
      </w:r>
      <w:r w:rsidR="004A4CA3">
        <w:t xml:space="preserve">Infrastructure Guidelines </w:t>
      </w:r>
      <w:r w:rsidR="00E16605" w:rsidRPr="00E16605">
        <w:t>(</w:t>
      </w:r>
      <w:r w:rsidR="004A4CA3">
        <w:t>IG</w:t>
      </w:r>
      <w:r w:rsidR="00E16605" w:rsidRPr="00E16605">
        <w:t>) provides the rules of approvals in the public sector to ensure value for money. From all this, a number of programmes and projects to deliver such policies emerged, such as BusConnects, Metrolink, D</w:t>
      </w:r>
      <w:r w:rsidR="00A858C5">
        <w:t>ART</w:t>
      </w:r>
      <w:r w:rsidR="00E16605" w:rsidRPr="00E16605">
        <w:t xml:space="preserve">+, and Active Travel programme to name a few. This paper delves into the literature of project management and institutional economics, and presents the case study of the National Transport Authority in Ireland </w:t>
      </w:r>
      <w:r w:rsidR="00AA7365">
        <w:t xml:space="preserve">to assess determinants affecting </w:t>
      </w:r>
      <w:r w:rsidR="00E16605" w:rsidRPr="00E16605">
        <w:t xml:space="preserve">the degree of effectiveness in its </w:t>
      </w:r>
      <w:r w:rsidR="00AA7365">
        <w:t>delivery</w:t>
      </w:r>
      <w:r w:rsidR="00E16605" w:rsidRPr="00E16605">
        <w:t xml:space="preserve">. Using </w:t>
      </w:r>
      <w:r w:rsidR="00AA7365">
        <w:t>an adapted</w:t>
      </w:r>
      <w:r w:rsidR="00E16605" w:rsidRPr="00E16605">
        <w:t xml:space="preserve"> PESTEL analysis, we conducted interviews to </w:t>
      </w:r>
      <w:r w:rsidR="00AA7365">
        <w:t>selected experts</w:t>
      </w:r>
      <w:r w:rsidR="00E16605" w:rsidRPr="00E16605">
        <w:t xml:space="preserve"> to determine the </w:t>
      </w:r>
      <w:r w:rsidR="00AA7365">
        <w:t>likelihood of such determinants</w:t>
      </w:r>
      <w:r w:rsidR="00E16605" w:rsidRPr="00E16605">
        <w:t>. Lessons learned offer insights to policy makers and managers of public</w:t>
      </w:r>
      <w:r w:rsidR="00E16605">
        <w:t xml:space="preserve"> transport programmes elsewhere</w:t>
      </w:r>
      <w:r w:rsidR="006F3FDB">
        <w:t>.</w:t>
      </w:r>
    </w:p>
    <w:p w14:paraId="061F9331" w14:textId="69E2A378" w:rsidR="00E16605" w:rsidRPr="00183EC5" w:rsidRDefault="009B2539" w:rsidP="00183EC5">
      <w:pPr>
        <w:pStyle w:val="keywords"/>
        <w:rPr>
          <w:rStyle w:val="heading30"/>
          <w:b w:val="0"/>
        </w:rPr>
      </w:pPr>
      <w:r w:rsidRPr="00EE426C">
        <w:rPr>
          <w:b/>
          <w:bCs/>
        </w:rPr>
        <w:t>Keywords:</w:t>
      </w:r>
      <w:r w:rsidRPr="00EE426C">
        <w:t xml:space="preserve"> </w:t>
      </w:r>
      <w:r w:rsidR="00E16605" w:rsidRPr="00E16605">
        <w:t xml:space="preserve">Transport Policy, Programmatic Approach, </w:t>
      </w:r>
      <w:r w:rsidR="00086C8F">
        <w:t>Transformation, Sustainable Mobility</w:t>
      </w:r>
      <w:r w:rsidR="00E16605" w:rsidRPr="00E16605">
        <w:t xml:space="preserve">, </w:t>
      </w:r>
      <w:r w:rsidR="00086C8F">
        <w:t>Institutional Economics</w:t>
      </w:r>
      <w:r w:rsidR="00E16605" w:rsidRPr="00E16605">
        <w:t>.</w:t>
      </w:r>
    </w:p>
    <w:p w14:paraId="367C15B3" w14:textId="67956630" w:rsidR="00F5587E" w:rsidRDefault="00741B52" w:rsidP="00F5587E">
      <w:pPr>
        <w:pStyle w:val="heading1"/>
      </w:pPr>
      <w:r>
        <w:t>Introduction</w:t>
      </w:r>
    </w:p>
    <w:p w14:paraId="0EE7872C" w14:textId="763D90BC" w:rsidR="00E46495" w:rsidRDefault="00D165B3" w:rsidP="001D5C6F">
      <w:pPr>
        <w:ind w:firstLine="0"/>
      </w:pPr>
      <w:r>
        <w:t xml:space="preserve">At the end of 2015, </w:t>
      </w:r>
      <w:r w:rsidR="00012E9B">
        <w:t>Ireland signed</w:t>
      </w:r>
      <w:r w:rsidR="002F06EE">
        <w:t xml:space="preserve"> </w:t>
      </w:r>
      <w:r w:rsidR="00E46495">
        <w:t>the Paris Agreement signaling its commitment towards the climate agenda. Subsequently, a re</w:t>
      </w:r>
      <w:r w:rsidR="00183EC5">
        <w:t xml:space="preserve">calibration of its policies </w:t>
      </w:r>
      <w:r>
        <w:t>took</w:t>
      </w:r>
      <w:r w:rsidR="00E46495">
        <w:t xml:space="preserve"> place. </w:t>
      </w:r>
      <w:r>
        <w:t xml:space="preserve">In </w:t>
      </w:r>
      <w:r>
        <w:lastRenderedPageBreak/>
        <w:t>2021</w:t>
      </w:r>
      <w:r w:rsidR="00E46495" w:rsidRPr="00E16605">
        <w:t xml:space="preserve"> the Government of Ireland launched its </w:t>
      </w:r>
      <w:r>
        <w:t xml:space="preserve">revised </w:t>
      </w:r>
      <w:r w:rsidR="00E46495" w:rsidRPr="00E16605">
        <w:t>National Development Plan</w:t>
      </w:r>
      <w:r>
        <w:t xml:space="preserve"> becoming its </w:t>
      </w:r>
      <w:r w:rsidR="00E46495" w:rsidRPr="00E16605">
        <w:t>greenest and most ambitious plan to date. The investment amounts €165 billion for infrastructure development over the next 10 years, with more than 20 percent allocated to the transport sector. This investment - at 5 percent of its national income- is well above the recent EU average of 3 percent.</w:t>
      </w:r>
      <w:r w:rsidR="002F06EE">
        <w:t xml:space="preserve"> With </w:t>
      </w:r>
      <w:r w:rsidR="00012E9B">
        <w:t>these</w:t>
      </w:r>
      <w:r w:rsidR="002F06EE">
        <w:t xml:space="preserve"> resources it is important to delve into the determinants of the</w:t>
      </w:r>
      <w:r w:rsidR="00012E9B">
        <w:t xml:space="preserve"> speed of transformation to</w:t>
      </w:r>
      <w:r w:rsidR="002F06EE">
        <w:t xml:space="preserve"> sustainable mobility. </w:t>
      </w:r>
    </w:p>
    <w:p w14:paraId="287B459E" w14:textId="1C0D6BAB" w:rsidR="001D5C6F" w:rsidRDefault="002F06EE" w:rsidP="00E801B7">
      <w:r>
        <w:t xml:space="preserve">This paper </w:t>
      </w:r>
      <w:r w:rsidRPr="002F06EE">
        <w:t xml:space="preserve">explores </w:t>
      </w:r>
      <w:r w:rsidR="007820D7">
        <w:t xml:space="preserve">the likelihood of </w:t>
      </w:r>
      <w:r w:rsidR="00012E9B">
        <w:t xml:space="preserve">determinants </w:t>
      </w:r>
      <w:r w:rsidRPr="002F06EE">
        <w:t>affect</w:t>
      </w:r>
      <w:r w:rsidR="00012E9B">
        <w:t>ing</w:t>
      </w:r>
      <w:r w:rsidRPr="002F06EE">
        <w:t xml:space="preserve"> the transformation to sustainable mobilit</w:t>
      </w:r>
      <w:r w:rsidR="00D165B3">
        <w:t xml:space="preserve">y with emphasis on institutions </w:t>
      </w:r>
      <w:r w:rsidRPr="002F06EE">
        <w:t>and a programmatic approach to investment.</w:t>
      </w:r>
      <w:r>
        <w:t xml:space="preserve"> A</w:t>
      </w:r>
      <w:r w:rsidR="004D51F1">
        <w:t>n adapted</w:t>
      </w:r>
      <w:r>
        <w:t xml:space="preserve"> Political, Economic, Social, Technological, Environmental, and Legal (PESTEL) analysis </w:t>
      </w:r>
      <w:r w:rsidR="001D5C6F">
        <w:t xml:space="preserve">is </w:t>
      </w:r>
      <w:r w:rsidR="00012E9B">
        <w:t>used</w:t>
      </w:r>
      <w:r>
        <w:t xml:space="preserve"> to </w:t>
      </w:r>
      <w:r w:rsidR="001D5C6F">
        <w:t xml:space="preserve">systematically </w:t>
      </w:r>
      <w:r>
        <w:t>gather expert opinions</w:t>
      </w:r>
      <w:r w:rsidR="00D165B3">
        <w:t xml:space="preserve"> with a survey</w:t>
      </w:r>
      <w:r w:rsidR="001D5C6F">
        <w:t>.</w:t>
      </w:r>
    </w:p>
    <w:p w14:paraId="6E17C961" w14:textId="256F0B92" w:rsidR="002F06EE" w:rsidRPr="00E801B7" w:rsidRDefault="001D5C6F" w:rsidP="001D5C6F">
      <w:r>
        <w:t xml:space="preserve">Section two delves into the literatures of project management and institutional economics. Section three </w:t>
      </w:r>
      <w:r w:rsidR="00D165B3">
        <w:t>presents</w:t>
      </w:r>
      <w:r>
        <w:t xml:space="preserve"> the case of the Irish transport policy and its institutional setting. Section four </w:t>
      </w:r>
      <w:r w:rsidR="00D165B3">
        <w:t>reports</w:t>
      </w:r>
      <w:r>
        <w:t xml:space="preserve"> the results </w:t>
      </w:r>
      <w:r w:rsidR="00D165B3">
        <w:t>of the survey</w:t>
      </w:r>
      <w:r w:rsidR="00012E9B">
        <w:t xml:space="preserve"> and</w:t>
      </w:r>
      <w:r>
        <w:t xml:space="preserve"> </w:t>
      </w:r>
      <w:r w:rsidR="00D165B3">
        <w:t>discusses</w:t>
      </w:r>
      <w:r w:rsidR="00012E9B">
        <w:t xml:space="preserve"> </w:t>
      </w:r>
      <w:r>
        <w:t>policy implications.</w:t>
      </w:r>
      <w:r w:rsidRPr="004A377A">
        <w:t xml:space="preserve"> </w:t>
      </w:r>
      <w:r>
        <w:t>Conclusions are presented in the end.</w:t>
      </w:r>
    </w:p>
    <w:p w14:paraId="63556AF6" w14:textId="7EA62008" w:rsidR="00741B52" w:rsidRDefault="00741B52" w:rsidP="00741B52">
      <w:pPr>
        <w:pStyle w:val="heading1"/>
      </w:pPr>
      <w:r>
        <w:t>Literature Review</w:t>
      </w:r>
    </w:p>
    <w:p w14:paraId="69B87718" w14:textId="28ACEE9C" w:rsidR="00741B52" w:rsidRDefault="00741B52" w:rsidP="00741B52">
      <w:pPr>
        <w:pStyle w:val="heading2"/>
        <w:spacing w:before="0"/>
      </w:pPr>
      <w:r>
        <w:t>Project Management</w:t>
      </w:r>
    </w:p>
    <w:p w14:paraId="42CFD082" w14:textId="32412DEB" w:rsidR="00321526" w:rsidRDefault="00447386" w:rsidP="0006619F">
      <w:pPr>
        <w:ind w:firstLine="0"/>
      </w:pPr>
      <w:r>
        <w:t>There is a rich literature in project management. However</w:t>
      </w:r>
      <w:r w:rsidR="003110FF">
        <w:t>,</w:t>
      </w:r>
      <w:r>
        <w:t xml:space="preserve"> </w:t>
      </w:r>
      <w:r w:rsidR="003110FF">
        <w:t>e</w:t>
      </w:r>
      <w:r w:rsidR="00321526">
        <w:t xml:space="preserve">xploration in detail of the technical aspects of managing public capital projects and programmes in Ireland has been more limited. While broad overviews of capital expenditure and potential outcomes are important, evaluation of the effectiveness of governance and technical management capability are critical to ensuring </w:t>
      </w:r>
      <w:r w:rsidR="003110FF">
        <w:t>value for money on the public purse</w:t>
      </w:r>
      <w:r w:rsidR="00321526">
        <w:t xml:space="preserve">. </w:t>
      </w:r>
    </w:p>
    <w:p w14:paraId="2D074EB3" w14:textId="0C8785A9" w:rsidR="00741B52" w:rsidRDefault="00321526" w:rsidP="00C1012F">
      <w:r>
        <w:t xml:space="preserve">There is also growing interest </w:t>
      </w:r>
      <w:r w:rsidR="00A462AE">
        <w:t xml:space="preserve">on </w:t>
      </w:r>
      <w:r>
        <w:t xml:space="preserve">appraisal and investment management guidance for Irish public capital projects to address environmental impacts and increase the delivery rate of public investments. </w:t>
      </w:r>
      <w:r w:rsidR="00A462AE">
        <w:t xml:space="preserve">The </w:t>
      </w:r>
      <w:r w:rsidR="004A4CA3">
        <w:t>Infrastructure Guidelines (IG), formerly known as Public Spending Code (PSC)</w:t>
      </w:r>
      <w:r w:rsidR="00A462AE">
        <w:t xml:space="preserve"> introduced in 2013</w:t>
      </w:r>
      <w:r w:rsidR="004A4CA3">
        <w:t xml:space="preserve">, </w:t>
      </w:r>
      <w:r w:rsidR="00A462AE">
        <w:t xml:space="preserve">as a decision making system based on project management principles, provides a set of rules and procedures to ensure that the right solution is chosen. </w:t>
      </w:r>
      <w:r>
        <w:t>A 2023 OECD report</w:t>
      </w:r>
      <w:r w:rsidR="00AE4FBC">
        <w:t xml:space="preserve"> [1</w:t>
      </w:r>
      <w:r w:rsidR="00183EC5">
        <w:t>]</w:t>
      </w:r>
      <w:r>
        <w:t xml:space="preserve"> examining Irish appraisal guidance in the </w:t>
      </w:r>
      <w:r w:rsidR="00A462AE">
        <w:t xml:space="preserve">updated version of the </w:t>
      </w:r>
      <w:r>
        <w:t xml:space="preserve">PSC </w:t>
      </w:r>
      <w:r w:rsidR="00A462AE">
        <w:t xml:space="preserve">in 2019 </w:t>
      </w:r>
      <w:r>
        <w:t xml:space="preserve">noted the opportunity to strengthen project appraisal guidance </w:t>
      </w:r>
      <w:r w:rsidR="003648F2">
        <w:t>and improve</w:t>
      </w:r>
      <w:r>
        <w:t xml:space="preserve"> the rate of delivery of public capital investments, th</w:t>
      </w:r>
      <w:r w:rsidR="003648F2">
        <w:t>rough the</w:t>
      </w:r>
      <w:r>
        <w:t xml:space="preserve"> use of investment programmes. </w:t>
      </w:r>
      <w:r w:rsidR="003648F2">
        <w:t xml:space="preserve">In addition, </w:t>
      </w:r>
      <w:r>
        <w:t xml:space="preserve">Connolly and Newman </w:t>
      </w:r>
      <w:r w:rsidR="00AE4FBC">
        <w:t>[2</w:t>
      </w:r>
      <w:r w:rsidR="003110FF">
        <w:t xml:space="preserve">] </w:t>
      </w:r>
      <w:r>
        <w:t xml:space="preserve">examined the potential additional appraisal and management guidance that would need to be put in place to ensure effective use of public finances under a programmatic approach. </w:t>
      </w:r>
      <w:r w:rsidR="003648F2">
        <w:t>One of the recommendations is</w:t>
      </w:r>
      <w:r>
        <w:t xml:space="preserve"> including the provision of a basic definition of a programme and proportionate levels of appraisal. However, a number of challenges regarding the use of programmes was also noted, including the potential approval process across a development lifecycle with multiple challenge and approval points. </w:t>
      </w:r>
    </w:p>
    <w:p w14:paraId="6FBB6EB1" w14:textId="77777777" w:rsidR="003110FF" w:rsidRPr="00741B52" w:rsidRDefault="003110FF" w:rsidP="00C1012F"/>
    <w:p w14:paraId="307E4AEC" w14:textId="501FF190" w:rsidR="00741B52" w:rsidRPr="006809AE" w:rsidRDefault="00C6673C" w:rsidP="00741B52">
      <w:pPr>
        <w:pStyle w:val="heading2"/>
        <w:spacing w:before="0"/>
      </w:pPr>
      <w:r>
        <w:t xml:space="preserve">New </w:t>
      </w:r>
      <w:r w:rsidR="00741B52">
        <w:t>Institutional Economics</w:t>
      </w:r>
    </w:p>
    <w:p w14:paraId="34325D57" w14:textId="10C74DEC" w:rsidR="00415109" w:rsidRDefault="005045F3" w:rsidP="00415109">
      <w:pPr>
        <w:ind w:firstLine="0"/>
      </w:pPr>
      <w:r>
        <w:t xml:space="preserve">The </w:t>
      </w:r>
      <w:r w:rsidR="00C6673C">
        <w:t xml:space="preserve">New </w:t>
      </w:r>
      <w:r w:rsidR="00AF4813">
        <w:t>Institutional Economics</w:t>
      </w:r>
      <w:r>
        <w:t xml:space="preserve"> </w:t>
      </w:r>
      <w:r w:rsidR="003110FF">
        <w:t>helps to</w:t>
      </w:r>
      <w:r w:rsidR="00AF4813">
        <w:t xml:space="preserve"> understand how the “rules of the game” affect the transformation requir</w:t>
      </w:r>
      <w:r w:rsidR="00161F8A">
        <w:t>ed to</w:t>
      </w:r>
      <w:r w:rsidR="00AF4813">
        <w:t xml:space="preserve"> sustainable mobility. </w:t>
      </w:r>
      <w:r w:rsidR="00B12F27">
        <w:t>Following</w:t>
      </w:r>
      <w:r>
        <w:t xml:space="preserve"> </w:t>
      </w:r>
      <w:r w:rsidR="00C6673C">
        <w:t xml:space="preserve">Peterson St Laurent et al. </w:t>
      </w:r>
      <w:r>
        <w:t>[</w:t>
      </w:r>
      <w:r w:rsidR="00AE4FBC">
        <w:t>3</w:t>
      </w:r>
      <w:r>
        <w:t>]</w:t>
      </w:r>
      <w:r w:rsidR="00C6673C">
        <w:t xml:space="preserve"> a </w:t>
      </w:r>
      <w:r w:rsidR="00B12F27">
        <w:t>spectrum</w:t>
      </w:r>
      <w:r w:rsidR="00C6673C">
        <w:t xml:space="preserve"> </w:t>
      </w:r>
      <w:r>
        <w:t xml:space="preserve">can be considered </w:t>
      </w:r>
      <w:r w:rsidR="003110FF">
        <w:t>to depict</w:t>
      </w:r>
      <w:r w:rsidR="00C6673C">
        <w:t xml:space="preserve"> the</w:t>
      </w:r>
      <w:r w:rsidR="003110FF">
        <w:t xml:space="preserve"> Public Transport (</w:t>
      </w:r>
      <w:r>
        <w:t>PT</w:t>
      </w:r>
      <w:r w:rsidR="003110FF">
        <w:t>)</w:t>
      </w:r>
      <w:r w:rsidR="00C6673C">
        <w:t xml:space="preserve"> resistance-</w:t>
      </w:r>
      <w:r w:rsidR="00C6673C">
        <w:lastRenderedPageBreak/>
        <w:t xml:space="preserve">resilience transformation spectrum from active resistance to accelerated transformation. </w:t>
      </w:r>
      <w:r w:rsidR="003110FF">
        <w:t>M</w:t>
      </w:r>
      <w:r w:rsidR="002E26BC">
        <w:t>any barriers slow</w:t>
      </w:r>
      <w:r w:rsidR="00972304">
        <w:t xml:space="preserve">down this transformation. </w:t>
      </w:r>
      <w:r w:rsidR="003110FF">
        <w:t>T</w:t>
      </w:r>
      <w:r w:rsidR="00972304">
        <w:t xml:space="preserve">he New Institutional Economic school of thought </w:t>
      </w:r>
      <w:r w:rsidR="003110FF">
        <w:t>is</w:t>
      </w:r>
      <w:r w:rsidR="00972304">
        <w:t xml:space="preserve"> useful to artic</w:t>
      </w:r>
      <w:r w:rsidR="00415109">
        <w:t>ulate these challenges</w:t>
      </w:r>
      <w:r w:rsidR="0047456F">
        <w:t>, see Figure 1</w:t>
      </w:r>
      <w:r w:rsidR="003110FF">
        <w:t xml:space="preserve">. </w:t>
      </w:r>
    </w:p>
    <w:p w14:paraId="3F1A38BC" w14:textId="65C23D4D" w:rsidR="005045F3" w:rsidRDefault="005045F3" w:rsidP="005045F3">
      <w:pPr>
        <w:pStyle w:val="figurecaption"/>
        <w:jc w:val="both"/>
      </w:pPr>
      <w:bookmarkStart w:id="1" w:name="_Ref467515387"/>
      <w:r>
        <w:rPr>
          <w:noProof/>
          <w:lang w:val="en-GB" w:eastAsia="en-GB"/>
        </w:rPr>
        <w:drawing>
          <wp:anchor distT="0" distB="0" distL="114300" distR="114300" simplePos="0" relativeHeight="251660288" behindDoc="0" locked="0" layoutInCell="1" allowOverlap="1" wp14:anchorId="050F7EF2" wp14:editId="659DFBEA">
            <wp:simplePos x="0" y="0"/>
            <wp:positionH relativeFrom="margin">
              <wp:align>left</wp:align>
            </wp:positionH>
            <wp:positionV relativeFrom="paragraph">
              <wp:posOffset>59872</wp:posOffset>
            </wp:positionV>
            <wp:extent cx="4467288" cy="2684845"/>
            <wp:effectExtent l="0" t="0" r="0" b="1270"/>
            <wp:wrapTight wrapText="bothSides">
              <wp:wrapPolygon edited="0">
                <wp:start x="0" y="0"/>
                <wp:lineTo x="0" y="21457"/>
                <wp:lineTo x="21462" y="21457"/>
                <wp:lineTo x="2146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4467288" cy="2684845"/>
                    </a:xfrm>
                    <a:prstGeom prst="rect">
                      <a:avLst/>
                    </a:prstGeom>
                  </pic:spPr>
                </pic:pic>
              </a:graphicData>
            </a:graphic>
          </wp:anchor>
        </w:drawing>
      </w:r>
      <w:r>
        <w:rPr>
          <w:b/>
        </w:rPr>
        <w:t xml:space="preserve">Fig. </w:t>
      </w:r>
      <w:r>
        <w:rPr>
          <w:b/>
        </w:rPr>
        <w:fldChar w:fldCharType="begin"/>
      </w:r>
      <w:r>
        <w:rPr>
          <w:b/>
        </w:rPr>
        <w:instrText xml:space="preserve"> SEQ "Figure" \* MERGEFORMAT </w:instrText>
      </w:r>
      <w:r>
        <w:rPr>
          <w:b/>
        </w:rPr>
        <w:fldChar w:fldCharType="separate"/>
      </w:r>
      <w:r w:rsidR="0068545F">
        <w:rPr>
          <w:b/>
          <w:noProof/>
        </w:rPr>
        <w:t>1</w:t>
      </w:r>
      <w:r>
        <w:rPr>
          <w:b/>
        </w:rPr>
        <w:fldChar w:fldCharType="end"/>
      </w:r>
      <w:bookmarkEnd w:id="1"/>
      <w:r>
        <w:rPr>
          <w:b/>
        </w:rPr>
        <w:t>.</w:t>
      </w:r>
      <w:r>
        <w:t xml:space="preserve"> </w:t>
      </w:r>
      <w:r w:rsidRPr="005045F3">
        <w:t>Differing timeframes in Economics of Institutions</w:t>
      </w:r>
      <w:r>
        <w:t xml:space="preserve">. </w:t>
      </w:r>
      <w:r w:rsidRPr="005045F3">
        <w:t xml:space="preserve">Source: Adapted from Williamson </w:t>
      </w:r>
      <w:r w:rsidR="00AE4FBC">
        <w:t>[4</w:t>
      </w:r>
      <w:r w:rsidR="0047456F">
        <w:t>]</w:t>
      </w:r>
    </w:p>
    <w:p w14:paraId="449EF8E2" w14:textId="1773E3F5" w:rsidR="00972304" w:rsidRDefault="005045F3" w:rsidP="00C1012F">
      <w:pPr>
        <w:ind w:firstLine="0"/>
      </w:pPr>
      <w:r>
        <w:t xml:space="preserve">Williamson </w:t>
      </w:r>
      <w:r w:rsidR="00972304">
        <w:t xml:space="preserve">identifies four levels, where change happens at different paces. Level 1 is the slowest, termed ‘embeddedness’ where traditional practices, cultural norms, language and behaviour is shaped by a set of unique historic factors. The second level, the ‘institutional environment’ relates to the set of formal rules and legislation in operation at any particular time. The third level relates to the institutional arrangement or the shorter-term contracts that firms </w:t>
      </w:r>
      <w:r w:rsidR="007C28DF">
        <w:t xml:space="preserve">and entities </w:t>
      </w:r>
      <w:r w:rsidR="00C1012F">
        <w:t>enter</w:t>
      </w:r>
      <w:r w:rsidR="00972304">
        <w:t xml:space="preserve">. The fourth level is the fastest paced level of resource allocation, or what happens within ‘the market’. Adam Smith’s invisible hand and Schumpeter’s creative destruction processes are increasingly relevant for the provisioning of PT. The pace of technological change and digitalisation is transforming so many aspects of how the economy and society operates. PT providers are technology takers at this level, and need to keep apace of innovation that impact services. </w:t>
      </w:r>
    </w:p>
    <w:p w14:paraId="2FA6A8F3" w14:textId="4AD8C6DE" w:rsidR="00972304" w:rsidRDefault="00972304" w:rsidP="002D2368">
      <w:r>
        <w:t>There are processes operating at all of the four levels with differing durations</w:t>
      </w:r>
      <w:r w:rsidR="007C28DF">
        <w:t>.</w:t>
      </w:r>
      <w:r w:rsidR="002D2368">
        <w:t xml:space="preserve"> </w:t>
      </w:r>
      <w:r w:rsidR="00042D27">
        <w:t xml:space="preserve">Programmes </w:t>
      </w:r>
      <w:r w:rsidR="007C28DF">
        <w:t xml:space="preserve">offer the opportunity to </w:t>
      </w:r>
      <w:r w:rsidR="00042D27">
        <w:t>overcome the tyranny of time, and the shorter timescales associated with contract theory</w:t>
      </w:r>
      <w:r w:rsidR="007C28DF">
        <w:t xml:space="preserve">. </w:t>
      </w:r>
      <w:r w:rsidR="00042D27">
        <w:t>Programmes offer longevity, but not the instantaneous of transactions in markets, which is where accelerated transformation could conceivably happen.</w:t>
      </w:r>
    </w:p>
    <w:p w14:paraId="0FD53EFC" w14:textId="3D8D423E" w:rsidR="00741B52" w:rsidRDefault="00741B52" w:rsidP="00741B52">
      <w:pPr>
        <w:pStyle w:val="heading1"/>
      </w:pPr>
      <w:r>
        <w:lastRenderedPageBreak/>
        <w:t>The case of the Irish Transport policy delivery</w:t>
      </w:r>
    </w:p>
    <w:p w14:paraId="25267EC3" w14:textId="77777777" w:rsidR="00B41D08" w:rsidRPr="006809AE" w:rsidRDefault="00B41D08" w:rsidP="00B41D08">
      <w:pPr>
        <w:pStyle w:val="heading2"/>
        <w:spacing w:before="0"/>
      </w:pPr>
      <w:r>
        <w:t>The National Transport Authority Capital Programme</w:t>
      </w:r>
    </w:p>
    <w:p w14:paraId="5191537F" w14:textId="47E50C08" w:rsidR="00B41D08" w:rsidRDefault="00B41D08" w:rsidP="00A81B62">
      <w:pPr>
        <w:ind w:firstLine="0"/>
      </w:pPr>
      <w:r>
        <w:t xml:space="preserve">The National Transport Authority </w:t>
      </w:r>
      <w:r w:rsidR="00A81B62">
        <w:t xml:space="preserve">(NTA) </w:t>
      </w:r>
      <w:r>
        <w:t xml:space="preserve">in Ireland is the public body responsible for developing and implementing public transport strategies around the country. </w:t>
      </w:r>
      <w:r w:rsidR="00A81B62">
        <w:t>With an annual budget of nearly €1 billion, s</w:t>
      </w:r>
      <w:r>
        <w:t xml:space="preserve">ome of the NTA </w:t>
      </w:r>
      <w:r w:rsidR="002B4E61">
        <w:t xml:space="preserve">flagship </w:t>
      </w:r>
      <w:r>
        <w:t xml:space="preserve">programmes are </w:t>
      </w:r>
      <w:r w:rsidRPr="00EF06FD">
        <w:rPr>
          <w:b/>
        </w:rPr>
        <w:t>BusConnects</w:t>
      </w:r>
      <w:r>
        <w:t xml:space="preserve"> which is an overhaul of the Public Bus System</w:t>
      </w:r>
      <w:r w:rsidR="00C1012F">
        <w:t>s</w:t>
      </w:r>
      <w:r>
        <w:t xml:space="preserve"> in </w:t>
      </w:r>
      <w:r w:rsidR="00C1012F">
        <w:t>the</w:t>
      </w:r>
      <w:r>
        <w:t xml:space="preserve"> major cities</w:t>
      </w:r>
      <w:r w:rsidR="002B4E61">
        <w:t>;</w:t>
      </w:r>
      <w:r>
        <w:t xml:space="preserve"> </w:t>
      </w:r>
      <w:r w:rsidR="002B4E61">
        <w:t>t</w:t>
      </w:r>
      <w:r>
        <w:t xml:space="preserve">he </w:t>
      </w:r>
      <w:r w:rsidR="002B4E61">
        <w:t xml:space="preserve">expansion of the </w:t>
      </w:r>
      <w:r>
        <w:t xml:space="preserve">electric rail system known as </w:t>
      </w:r>
      <w:r w:rsidRPr="00EF06FD">
        <w:t>Dublin Area Rapid Transit</w:t>
      </w:r>
      <w:r>
        <w:t xml:space="preserve"> (</w:t>
      </w:r>
      <w:r w:rsidRPr="00EF06FD">
        <w:rPr>
          <w:b/>
        </w:rPr>
        <w:t>DART+</w:t>
      </w:r>
      <w:r>
        <w:t>)</w:t>
      </w:r>
      <w:r w:rsidR="002B4E61">
        <w:t>;</w:t>
      </w:r>
      <w:r>
        <w:t xml:space="preserve"> </w:t>
      </w:r>
      <w:r w:rsidRPr="00B41D08">
        <w:rPr>
          <w:b/>
        </w:rPr>
        <w:t>Metrolink</w:t>
      </w:r>
      <w:r>
        <w:t>, which is the first metro line in the country</w:t>
      </w:r>
      <w:r w:rsidR="002B4E61">
        <w:t>;</w:t>
      </w:r>
      <w:r>
        <w:t xml:space="preserve"> </w:t>
      </w:r>
      <w:r w:rsidR="002B4E61">
        <w:t xml:space="preserve">the </w:t>
      </w:r>
      <w:r w:rsidRPr="00B41D08">
        <w:rPr>
          <w:b/>
        </w:rPr>
        <w:t>Active Travel</w:t>
      </w:r>
      <w:r>
        <w:t xml:space="preserve"> Programme </w:t>
      </w:r>
      <w:r w:rsidR="002B4E61">
        <w:t xml:space="preserve">with an ambitious plan </w:t>
      </w:r>
      <w:r>
        <w:t xml:space="preserve">to build walking and cycling infrastructure throughout the country, and </w:t>
      </w:r>
      <w:r w:rsidRPr="00B41D08">
        <w:rPr>
          <w:b/>
        </w:rPr>
        <w:t>Connecting Ireland</w:t>
      </w:r>
      <w:r>
        <w:t xml:space="preserve"> Programme </w:t>
      </w:r>
      <w:r w:rsidR="00CA39DA">
        <w:t>focus</w:t>
      </w:r>
      <w:r w:rsidR="00A81B62">
        <w:t>ing</w:t>
      </w:r>
      <w:r w:rsidR="00CA39DA">
        <w:t xml:space="preserve"> on</w:t>
      </w:r>
      <w:r w:rsidR="00A81B62">
        <w:t xml:space="preserve"> rural areas</w:t>
      </w:r>
      <w:r>
        <w:t>.</w:t>
      </w:r>
    </w:p>
    <w:p w14:paraId="08D80F6F" w14:textId="77777777" w:rsidR="00F5587E" w:rsidRDefault="00F5587E" w:rsidP="00B41D08"/>
    <w:p w14:paraId="1386D6D6" w14:textId="77777777" w:rsidR="00741B52" w:rsidRPr="006809AE" w:rsidRDefault="00741B52" w:rsidP="00741B52">
      <w:pPr>
        <w:pStyle w:val="heading2"/>
        <w:spacing w:before="0"/>
      </w:pPr>
      <w:r>
        <w:t>The national policy and institutional framework</w:t>
      </w:r>
    </w:p>
    <w:p w14:paraId="0ACCD280" w14:textId="5136185B" w:rsidR="0006619F" w:rsidRDefault="00A462AE" w:rsidP="00A462AE">
      <w:pPr>
        <w:ind w:firstLine="0"/>
      </w:pPr>
      <w:r>
        <w:t>Whereas t</w:t>
      </w:r>
      <w:r w:rsidR="0051196C" w:rsidRPr="00E16605">
        <w:t xml:space="preserve">he National Sustainable Mobility </w:t>
      </w:r>
      <w:r w:rsidR="0051196C">
        <w:t>P</w:t>
      </w:r>
      <w:r w:rsidR="0051196C" w:rsidRPr="00E16605">
        <w:t>olicy (NSMP)</w:t>
      </w:r>
      <w:r w:rsidR="0051196C">
        <w:t xml:space="preserve"> and </w:t>
      </w:r>
      <w:r w:rsidR="0051196C" w:rsidRPr="00E16605">
        <w:t>the</w:t>
      </w:r>
      <w:r w:rsidR="0051196C">
        <w:t xml:space="preserve"> </w:t>
      </w:r>
      <w:r w:rsidR="0051196C" w:rsidRPr="00E16605">
        <w:t xml:space="preserve">National Investment Framework for Transport in Ireland (NIFTI) </w:t>
      </w:r>
      <w:r w:rsidR="0051196C">
        <w:t xml:space="preserve">are </w:t>
      </w:r>
      <w:r w:rsidR="00867D10">
        <w:t xml:space="preserve">the </w:t>
      </w:r>
      <w:r w:rsidR="0051196C">
        <w:t xml:space="preserve">key policies </w:t>
      </w:r>
      <w:r w:rsidR="00867D10">
        <w:t>that</w:t>
      </w:r>
      <w:r w:rsidR="0051196C">
        <w:t xml:space="preserve"> provide the ambition for </w:t>
      </w:r>
      <w:r w:rsidR="00867D10">
        <w:t>the transfo</w:t>
      </w:r>
      <w:r>
        <w:t xml:space="preserve">rmation to sustainable mobility, the </w:t>
      </w:r>
      <w:r w:rsidR="00B81F39">
        <w:t>IG</w:t>
      </w:r>
      <w:r>
        <w:t xml:space="preserve"> facilitates the appraisal, monitoring, management and delivery of public investment to ensure effectiveness and value for money. </w:t>
      </w:r>
      <w:r w:rsidR="001D2247">
        <w:t xml:space="preserve">The </w:t>
      </w:r>
      <w:r w:rsidR="00B81F39">
        <w:t>IG</w:t>
      </w:r>
      <w:r w:rsidR="001D2247">
        <w:t xml:space="preserve"> has seen improvements </w:t>
      </w:r>
      <w:r w:rsidR="00550561">
        <w:t>from</w:t>
      </w:r>
      <w:r w:rsidR="001D2247">
        <w:t xml:space="preserve"> lessons learned in major projects, such as </w:t>
      </w:r>
      <w:r w:rsidR="0006619F">
        <w:t xml:space="preserve">the PWC report </w:t>
      </w:r>
      <w:r w:rsidR="00AE4FBC">
        <w:t>[5</w:t>
      </w:r>
      <w:r w:rsidR="00550561">
        <w:t xml:space="preserve">] </w:t>
      </w:r>
      <w:r w:rsidR="0006619F">
        <w:t>on the National Children</w:t>
      </w:r>
      <w:r w:rsidR="001D2247">
        <w:t>’</w:t>
      </w:r>
      <w:r w:rsidR="0006619F">
        <w:t xml:space="preserve">s Hospital which highlighted deficiencies in the 2013 edition of the </w:t>
      </w:r>
      <w:r>
        <w:t>PSC</w:t>
      </w:r>
      <w:r w:rsidR="0006619F">
        <w:t xml:space="preserve"> including upfront appraisal of costs and the challenge function within the approval process. </w:t>
      </w:r>
      <w:r w:rsidR="001D2247">
        <w:t>Nowadays, it takes about one year for a typical project to go through</w:t>
      </w:r>
      <w:r w:rsidR="00550561">
        <w:t>out</w:t>
      </w:r>
      <w:r w:rsidR="001D2247">
        <w:t xml:space="preserve"> the </w:t>
      </w:r>
      <w:r w:rsidR="00B81F39">
        <w:t>IG</w:t>
      </w:r>
      <w:r w:rsidR="00550561">
        <w:t xml:space="preserve"> process</w:t>
      </w:r>
      <w:r w:rsidR="001D2247">
        <w:t xml:space="preserve"> to </w:t>
      </w:r>
      <w:r w:rsidR="00550561">
        <w:t xml:space="preserve">reach </w:t>
      </w:r>
      <w:r w:rsidR="001D2247">
        <w:t xml:space="preserve">final approval. This is coming </w:t>
      </w:r>
      <w:r w:rsidR="0048730F">
        <w:t xml:space="preserve">down from </w:t>
      </w:r>
      <w:r w:rsidR="00550561">
        <w:t>1.5</w:t>
      </w:r>
      <w:r w:rsidR="001D2247">
        <w:t xml:space="preserve"> year</w:t>
      </w:r>
      <w:r w:rsidR="00550561">
        <w:t>s duration</w:t>
      </w:r>
      <w:r w:rsidR="001D2247">
        <w:t xml:space="preserve"> </w:t>
      </w:r>
      <w:r w:rsidR="0048730F">
        <w:t xml:space="preserve">that the </w:t>
      </w:r>
      <w:r w:rsidR="00B81F39">
        <w:t>IG</w:t>
      </w:r>
      <w:r w:rsidR="0048730F">
        <w:t xml:space="preserve"> process used to take </w:t>
      </w:r>
      <w:r w:rsidR="001D2247">
        <w:t xml:space="preserve">prior to recent reforms. </w:t>
      </w:r>
      <w:r w:rsidR="0048730F">
        <w:t>Despite these improvements</w:t>
      </w:r>
      <w:r w:rsidR="001D2247">
        <w:t xml:space="preserve">, some limitations remain. For instance, the lack of guidance </w:t>
      </w:r>
      <w:r w:rsidR="0048730F">
        <w:t>on programmatic approach</w:t>
      </w:r>
      <w:r w:rsidR="001D2247">
        <w:t xml:space="preserve"> </w:t>
      </w:r>
      <w:r w:rsidR="0048730F">
        <w:t>to optimize processing</w:t>
      </w:r>
      <w:r w:rsidR="001D2247">
        <w:t xml:space="preserve"> time</w:t>
      </w:r>
      <w:r w:rsidR="0048730F">
        <w:t>s</w:t>
      </w:r>
      <w:r w:rsidR="001D2247">
        <w:t xml:space="preserve">. </w:t>
      </w:r>
    </w:p>
    <w:p w14:paraId="3ED859CA" w14:textId="5ECEBC34" w:rsidR="0032041D" w:rsidRDefault="001C2744" w:rsidP="00AE4FBC">
      <w:r>
        <w:t xml:space="preserve">Another </w:t>
      </w:r>
      <w:r w:rsidR="002062D0">
        <w:t>Important element to bear in mind is the structure of the planning system in the country. Although the national government has control over National Plans and Strategies, such as t</w:t>
      </w:r>
      <w:r w:rsidR="00A462AE">
        <w:t xml:space="preserve">he National Planning Framework </w:t>
      </w:r>
      <w:r w:rsidR="002062D0">
        <w:t xml:space="preserve">and Metropolitan Area Transport Strategies, it has little control over </w:t>
      </w:r>
      <w:r w:rsidR="00061B47">
        <w:t xml:space="preserve">the efficiency of </w:t>
      </w:r>
      <w:r w:rsidR="002062D0">
        <w:t>instances where plans can be overthrown. For instance, A</w:t>
      </w:r>
      <w:r w:rsidR="002062D0" w:rsidRPr="002062D0">
        <w:t xml:space="preserve">n Bord Pleanála </w:t>
      </w:r>
      <w:r w:rsidR="00061B47">
        <w:t xml:space="preserve">as the </w:t>
      </w:r>
      <w:r w:rsidR="002062D0" w:rsidRPr="002062D0">
        <w:t xml:space="preserve">independent, statutory, quasi-judicial body that decides on appeals from planning decisions made by local authorities </w:t>
      </w:r>
      <w:r w:rsidR="002062D0">
        <w:t xml:space="preserve">have </w:t>
      </w:r>
      <w:r w:rsidR="00061B47">
        <w:t xml:space="preserve">been </w:t>
      </w:r>
      <w:r w:rsidR="002062D0">
        <w:t xml:space="preserve">embroiled </w:t>
      </w:r>
      <w:r w:rsidR="00061B47">
        <w:t xml:space="preserve">in recent scandals </w:t>
      </w:r>
      <w:r w:rsidR="002062D0">
        <w:t>un</w:t>
      </w:r>
      <w:r w:rsidR="0048730F">
        <w:t>dermining</w:t>
      </w:r>
      <w:r w:rsidR="002062D0">
        <w:t xml:space="preserve"> its credibility</w:t>
      </w:r>
      <w:r w:rsidR="00061B47">
        <w:t xml:space="preserve">. This creates </w:t>
      </w:r>
      <w:r w:rsidR="002062D0">
        <w:t xml:space="preserve">delays in their resolutions with </w:t>
      </w:r>
      <w:r w:rsidR="0048730F">
        <w:t xml:space="preserve">knock on effects </w:t>
      </w:r>
      <w:r w:rsidR="002062D0">
        <w:t xml:space="preserve">to the delivery of infrastructure, including public transport. In addition, there is </w:t>
      </w:r>
      <w:r w:rsidR="00443407">
        <w:t xml:space="preserve">a surge of judicial reviews against </w:t>
      </w:r>
      <w:r w:rsidR="00A82BF4">
        <w:t>A</w:t>
      </w:r>
      <w:r w:rsidR="00A82BF4" w:rsidRPr="002062D0">
        <w:t>n Bord Pleanála</w:t>
      </w:r>
      <w:r w:rsidR="0032041D">
        <w:t>’s resolution</w:t>
      </w:r>
      <w:r w:rsidR="00443407">
        <w:t>s</w:t>
      </w:r>
      <w:r w:rsidR="00A82BF4">
        <w:t xml:space="preserve"> adding extra time in the overall approval process</w:t>
      </w:r>
      <w:r w:rsidR="00AE4FBC">
        <w:t xml:space="preserve"> [6</w:t>
      </w:r>
      <w:r w:rsidR="00443407">
        <w:t>]</w:t>
      </w:r>
      <w:r w:rsidR="00A82BF4">
        <w:t>.</w:t>
      </w:r>
      <w:r w:rsidR="00AE4FBC">
        <w:t xml:space="preserve"> </w:t>
      </w:r>
      <w:r w:rsidR="0032041D">
        <w:t>These deficiencies in the planning system are compounded to the increasing occurrence of NIMBYism (Not-In-My-Back-Yard)</w:t>
      </w:r>
      <w:r w:rsidR="0032041D" w:rsidRPr="0032041D">
        <w:t>, which is the behaviour of someone who does not want something to be built or done near where they live</w:t>
      </w:r>
      <w:r w:rsidR="0032041D">
        <w:t xml:space="preserve">. </w:t>
      </w:r>
    </w:p>
    <w:p w14:paraId="16583EDE" w14:textId="3B1F0AD7" w:rsidR="00A82BF4" w:rsidRDefault="00A82BF4" w:rsidP="0051196C">
      <w:r>
        <w:t>All this institutional setting operates under the context of two major crises. First a housing crisis where the commuting patterns are distorted</w:t>
      </w:r>
      <w:r w:rsidRPr="00A82BF4">
        <w:t xml:space="preserve"> </w:t>
      </w:r>
      <w:r>
        <w:t xml:space="preserve">and with </w:t>
      </w:r>
      <w:r w:rsidRPr="00A82BF4">
        <w:t xml:space="preserve">ramifications on </w:t>
      </w:r>
      <w:r>
        <w:t>t</w:t>
      </w:r>
      <w:r w:rsidRPr="00A82BF4">
        <w:t xml:space="preserve">ransport demand, congestions, and implications on the design of </w:t>
      </w:r>
      <w:r>
        <w:t>p</w:t>
      </w:r>
      <w:r w:rsidRPr="00A82BF4">
        <w:t>ublic transport infrastructure, and network transport effects</w:t>
      </w:r>
      <w:r>
        <w:t xml:space="preserve">. </w:t>
      </w:r>
      <w:r w:rsidR="00387C49">
        <w:t>And s</w:t>
      </w:r>
      <w:r>
        <w:t>econd, a construction sector decimated in the aftermath of the 2008 economic crisis</w:t>
      </w:r>
      <w:r w:rsidR="00387C49">
        <w:t xml:space="preserve"> unable to meet the </w:t>
      </w:r>
      <w:r w:rsidR="00BC6FCF">
        <w:t>infrastructure demand</w:t>
      </w:r>
      <w:r>
        <w:t xml:space="preserve">. </w:t>
      </w:r>
    </w:p>
    <w:p w14:paraId="1B0C21C2" w14:textId="3BB06AE0" w:rsidR="000A55B4" w:rsidRDefault="00A82BF4" w:rsidP="0051196C">
      <w:r>
        <w:lastRenderedPageBreak/>
        <w:t xml:space="preserve">Finally, it is important to consider the </w:t>
      </w:r>
      <w:r w:rsidR="00712142">
        <w:t xml:space="preserve">private sector participation in the </w:t>
      </w:r>
      <w:r>
        <w:t xml:space="preserve">public transport </w:t>
      </w:r>
      <w:r w:rsidR="00712142">
        <w:t>provision.</w:t>
      </w:r>
      <w:r>
        <w:t xml:space="preserve"> There is a variety of Public Transport </w:t>
      </w:r>
      <w:r w:rsidR="000A55B4">
        <w:t xml:space="preserve">operators </w:t>
      </w:r>
      <w:r w:rsidR="00712142">
        <w:t xml:space="preserve">either </w:t>
      </w:r>
      <w:r w:rsidR="000A55B4">
        <w:t>State-ow</w:t>
      </w:r>
      <w:r w:rsidR="00712142">
        <w:t>ned, State-Tendered, or Privately-owned</w:t>
      </w:r>
      <w:r w:rsidR="000A55B4">
        <w:t>.</w:t>
      </w:r>
      <w:r w:rsidR="00365B56">
        <w:t xml:space="preserve"> </w:t>
      </w:r>
      <w:r w:rsidR="00BC6FCF">
        <w:t>I</w:t>
      </w:r>
      <w:r w:rsidR="00712142">
        <w:t>t is the State-owned Transport Operators who dominate in</w:t>
      </w:r>
      <w:r w:rsidR="00F5587E">
        <w:t xml:space="preserve"> the area of mass</w:t>
      </w:r>
      <w:r w:rsidR="00712142">
        <w:t xml:space="preserve"> transport</w:t>
      </w:r>
      <w:r w:rsidR="00F5587E">
        <w:t>ation</w:t>
      </w:r>
      <w:r w:rsidR="00712142">
        <w:t xml:space="preserve">. </w:t>
      </w:r>
    </w:p>
    <w:p w14:paraId="1CF3D1F4" w14:textId="1CF8E208" w:rsidR="00774C65" w:rsidRDefault="001079C9" w:rsidP="00774C65">
      <w:pPr>
        <w:pStyle w:val="heading1"/>
      </w:pPr>
      <w:r>
        <w:t xml:space="preserve">Results and </w:t>
      </w:r>
      <w:r w:rsidR="00774C65">
        <w:t>Policy implications.</w:t>
      </w:r>
      <w:r w:rsidR="00774C65" w:rsidRPr="004A377A">
        <w:t xml:space="preserve"> </w:t>
      </w:r>
    </w:p>
    <w:p w14:paraId="7AC46DBE" w14:textId="0B3CF64D" w:rsidR="00CA34F6" w:rsidRDefault="00CA7625" w:rsidP="00774C65">
      <w:pPr>
        <w:ind w:firstLine="0"/>
      </w:pPr>
      <w:r>
        <w:t>A</w:t>
      </w:r>
      <w:r w:rsidR="004D51F1">
        <w:t>n adapted</w:t>
      </w:r>
      <w:r w:rsidR="00F5587E">
        <w:t xml:space="preserve"> PESTEL analysis</w:t>
      </w:r>
      <w:r>
        <w:t xml:space="preserve"> enabled </w:t>
      </w:r>
      <w:r w:rsidR="00F5587E">
        <w:t>a</w:t>
      </w:r>
      <w:r w:rsidR="00712142">
        <w:t xml:space="preserve"> survey</w:t>
      </w:r>
      <w:r w:rsidR="00F32436">
        <w:rPr>
          <w:rStyle w:val="FootnoteReference"/>
        </w:rPr>
        <w:footnoteReference w:id="2"/>
      </w:r>
      <w:r w:rsidR="00712142">
        <w:t xml:space="preserve"> </w:t>
      </w:r>
      <w:r w:rsidR="00A0171D">
        <w:t>to</w:t>
      </w:r>
      <w:r w:rsidR="00F5587E">
        <w:t xml:space="preserve"> </w:t>
      </w:r>
      <w:r w:rsidR="004434BB">
        <w:t xml:space="preserve">gather the opinion of experts on </w:t>
      </w:r>
      <w:r>
        <w:t>the likelihood of determinants</w:t>
      </w:r>
      <w:r w:rsidR="00A0171D">
        <w:t xml:space="preserve"> </w:t>
      </w:r>
      <w:r w:rsidR="00F5587E">
        <w:t>affecting the transformation to sustainable mobility</w:t>
      </w:r>
      <w:r>
        <w:t xml:space="preserve"> in Ireland</w:t>
      </w:r>
      <w:r w:rsidR="00A0171D">
        <w:t xml:space="preserve">. </w:t>
      </w:r>
      <w:r w:rsidR="00AD15B8">
        <w:t>PESTEL</w:t>
      </w:r>
      <w:r w:rsidR="004D51F1" w:rsidRPr="004D51F1">
        <w:t xml:space="preserve"> </w:t>
      </w:r>
      <w:r w:rsidR="004D51F1">
        <w:t xml:space="preserve">factors were identified and </w:t>
      </w:r>
      <w:r w:rsidR="007967C3">
        <w:t>categorized</w:t>
      </w:r>
      <w:r w:rsidR="004D51F1">
        <w:t xml:space="preserve"> in terms of the aspects of change in Economics of institutions. </w:t>
      </w:r>
      <w:r w:rsidR="00A0171D" w:rsidRPr="00CA7625">
        <w:t>Given the narrow scope of this research</w:t>
      </w:r>
      <w:r>
        <w:t>,</w:t>
      </w:r>
      <w:r w:rsidR="00A0171D" w:rsidRPr="00CA7625">
        <w:t xml:space="preserve"> </w:t>
      </w:r>
      <w:r w:rsidR="00086C8F">
        <w:t xml:space="preserve">a </w:t>
      </w:r>
      <w:r w:rsidR="00433B09">
        <w:t xml:space="preserve">dozen of </w:t>
      </w:r>
      <w:r w:rsidR="00A0171D" w:rsidRPr="00CA7625">
        <w:t xml:space="preserve">experts </w:t>
      </w:r>
      <w:r w:rsidR="00196AA3">
        <w:t>were</w:t>
      </w:r>
      <w:r>
        <w:t xml:space="preserve"> targeted </w:t>
      </w:r>
      <w:r w:rsidR="002C2576">
        <w:t>given their first-hand knowledge on the topic</w:t>
      </w:r>
      <w:r w:rsidR="004434BB">
        <w:t xml:space="preserve">. </w:t>
      </w:r>
      <w:r w:rsidR="00331755">
        <w:t xml:space="preserve">The </w:t>
      </w:r>
      <w:r w:rsidR="00823C58">
        <w:t xml:space="preserve">collection of responses was anonymized to increase the response rate and </w:t>
      </w:r>
      <w:r w:rsidR="00196AA3">
        <w:t>to gi</w:t>
      </w:r>
      <w:r w:rsidR="00823C58">
        <w:t xml:space="preserve">ve freedom of opinion. </w:t>
      </w:r>
      <w:r>
        <w:t xml:space="preserve">The results </w:t>
      </w:r>
      <w:r w:rsidR="00CA34F6">
        <w:t xml:space="preserve">are </w:t>
      </w:r>
      <w:r>
        <w:t>show</w:t>
      </w:r>
      <w:r w:rsidR="00CA34F6">
        <w:t>n in Table 1.</w:t>
      </w:r>
    </w:p>
    <w:p w14:paraId="2630A196" w14:textId="389EC4D0" w:rsidR="00CA34F6" w:rsidRDefault="00CA34F6" w:rsidP="00CA34F6">
      <w:pPr>
        <w:pStyle w:val="tablecaption"/>
      </w:pPr>
      <w:r>
        <w:rPr>
          <w:b/>
        </w:rPr>
        <w:t xml:space="preserve">Table </w:t>
      </w:r>
      <w:r>
        <w:rPr>
          <w:b/>
        </w:rPr>
        <w:fldChar w:fldCharType="begin"/>
      </w:r>
      <w:r>
        <w:rPr>
          <w:b/>
        </w:rPr>
        <w:instrText xml:space="preserve"> SEQ "Table" \* MERGEFORMAT </w:instrText>
      </w:r>
      <w:r>
        <w:rPr>
          <w:b/>
        </w:rPr>
        <w:fldChar w:fldCharType="separate"/>
      </w:r>
      <w:r w:rsidR="0068545F">
        <w:rPr>
          <w:b/>
          <w:noProof/>
        </w:rPr>
        <w:t>1</w:t>
      </w:r>
      <w:r>
        <w:rPr>
          <w:b/>
        </w:rPr>
        <w:fldChar w:fldCharType="end"/>
      </w:r>
      <w:r>
        <w:rPr>
          <w:b/>
        </w:rPr>
        <w:t>.</w:t>
      </w:r>
      <w:r>
        <w:t xml:space="preserve"> Determinant</w:t>
      </w:r>
      <w:r w:rsidR="00F675EC">
        <w:t>s</w:t>
      </w:r>
      <w:r>
        <w:t>’ likelihood affecting transformation to sustainable mobility.</w:t>
      </w:r>
    </w:p>
    <w:tbl>
      <w:tblPr>
        <w:tblW w:w="6799" w:type="dxa"/>
        <w:tblLook w:val="04A0" w:firstRow="1" w:lastRow="0" w:firstColumn="1" w:lastColumn="0" w:noHBand="0" w:noVBand="1"/>
      </w:tblPr>
      <w:tblGrid>
        <w:gridCol w:w="1413"/>
        <w:gridCol w:w="2693"/>
        <w:gridCol w:w="450"/>
        <w:gridCol w:w="450"/>
        <w:gridCol w:w="450"/>
        <w:gridCol w:w="489"/>
        <w:gridCol w:w="450"/>
        <w:gridCol w:w="436"/>
      </w:tblGrid>
      <w:tr w:rsidR="000F1C77" w:rsidRPr="004A2B9E" w14:paraId="5659F0D9" w14:textId="77777777" w:rsidTr="002A61D7">
        <w:trPr>
          <w:trHeight w:val="864"/>
        </w:trPr>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9D34827" w14:textId="77777777" w:rsidR="000F1C77" w:rsidRPr="004A2B9E" w:rsidRDefault="000F1C77" w:rsidP="00F675EC">
            <w:pPr>
              <w:overflowPunct/>
              <w:autoSpaceDE/>
              <w:autoSpaceDN/>
              <w:adjustRightInd/>
              <w:spacing w:line="240" w:lineRule="auto"/>
              <w:ind w:firstLine="0"/>
              <w:jc w:val="left"/>
              <w:textAlignment w:val="auto"/>
              <w:rPr>
                <w:b/>
                <w:bCs/>
                <w:color w:val="000000"/>
                <w:sz w:val="12"/>
                <w:szCs w:val="16"/>
                <w:lang w:val="en-GB" w:eastAsia="en-GB"/>
              </w:rPr>
            </w:pPr>
            <w:r w:rsidRPr="004A2B9E">
              <w:rPr>
                <w:b/>
                <w:bCs/>
                <w:color w:val="000000"/>
                <w:sz w:val="12"/>
                <w:szCs w:val="16"/>
                <w:lang w:val="en-GB" w:eastAsia="en-GB"/>
              </w:rPr>
              <w:t>Aspect for change</w:t>
            </w:r>
          </w:p>
        </w:tc>
        <w:tc>
          <w:tcPr>
            <w:tcW w:w="2693" w:type="dxa"/>
            <w:tcBorders>
              <w:top w:val="single" w:sz="4" w:space="0" w:color="auto"/>
              <w:left w:val="nil"/>
              <w:bottom w:val="single" w:sz="4" w:space="0" w:color="auto"/>
              <w:right w:val="single" w:sz="4" w:space="0" w:color="auto"/>
            </w:tcBorders>
            <w:shd w:val="clear" w:color="auto" w:fill="auto"/>
            <w:hideMark/>
          </w:tcPr>
          <w:p w14:paraId="0983AAE1" w14:textId="77777777" w:rsidR="000F1C77" w:rsidRPr="004A2B9E" w:rsidRDefault="000F1C77" w:rsidP="00F675EC">
            <w:pPr>
              <w:overflowPunct/>
              <w:autoSpaceDE/>
              <w:autoSpaceDN/>
              <w:adjustRightInd/>
              <w:spacing w:line="240" w:lineRule="auto"/>
              <w:ind w:firstLine="0"/>
              <w:jc w:val="left"/>
              <w:textAlignment w:val="auto"/>
              <w:rPr>
                <w:b/>
                <w:bCs/>
                <w:color w:val="000000"/>
                <w:sz w:val="12"/>
                <w:szCs w:val="16"/>
                <w:lang w:val="en-GB" w:eastAsia="en-GB"/>
              </w:rPr>
            </w:pPr>
            <w:r w:rsidRPr="004A2B9E">
              <w:rPr>
                <w:b/>
                <w:bCs/>
                <w:color w:val="000000"/>
                <w:sz w:val="12"/>
                <w:szCs w:val="16"/>
                <w:lang w:val="en-GB" w:eastAsia="en-GB"/>
              </w:rPr>
              <w:t>Factor</w:t>
            </w:r>
          </w:p>
        </w:tc>
        <w:tc>
          <w:tcPr>
            <w:tcW w:w="450" w:type="dxa"/>
            <w:tcBorders>
              <w:top w:val="single" w:sz="4" w:space="0" w:color="auto"/>
              <w:left w:val="nil"/>
              <w:bottom w:val="single" w:sz="4" w:space="0" w:color="auto"/>
              <w:right w:val="single" w:sz="4" w:space="0" w:color="auto"/>
            </w:tcBorders>
            <w:shd w:val="clear" w:color="auto" w:fill="auto"/>
            <w:hideMark/>
          </w:tcPr>
          <w:p w14:paraId="1B3F41BF" w14:textId="77777777" w:rsidR="000F1C77" w:rsidRPr="002A61D7" w:rsidRDefault="000F1C77" w:rsidP="00F675EC">
            <w:pPr>
              <w:overflowPunct/>
              <w:autoSpaceDE/>
              <w:autoSpaceDN/>
              <w:adjustRightInd/>
              <w:spacing w:line="240" w:lineRule="auto"/>
              <w:ind w:firstLine="0"/>
              <w:jc w:val="center"/>
              <w:textAlignment w:val="auto"/>
              <w:rPr>
                <w:b/>
                <w:bCs/>
                <w:color w:val="000000"/>
                <w:sz w:val="10"/>
                <w:szCs w:val="16"/>
                <w:lang w:val="en-GB" w:eastAsia="en-GB"/>
              </w:rPr>
            </w:pPr>
            <w:r w:rsidRPr="002A61D7">
              <w:rPr>
                <w:b/>
                <w:bCs/>
                <w:color w:val="000000"/>
                <w:sz w:val="10"/>
                <w:szCs w:val="16"/>
                <w:lang w:val="en-GB" w:eastAsia="en-GB"/>
              </w:rPr>
              <w:t>Very Unlikely</w:t>
            </w:r>
          </w:p>
        </w:tc>
        <w:tc>
          <w:tcPr>
            <w:tcW w:w="450" w:type="dxa"/>
            <w:tcBorders>
              <w:top w:val="single" w:sz="4" w:space="0" w:color="auto"/>
              <w:left w:val="nil"/>
              <w:bottom w:val="single" w:sz="4" w:space="0" w:color="auto"/>
              <w:right w:val="single" w:sz="4" w:space="0" w:color="auto"/>
            </w:tcBorders>
            <w:shd w:val="clear" w:color="auto" w:fill="auto"/>
            <w:hideMark/>
          </w:tcPr>
          <w:p w14:paraId="64CA0537" w14:textId="77777777" w:rsidR="000F1C77" w:rsidRPr="002A61D7" w:rsidRDefault="000F1C77" w:rsidP="00F675EC">
            <w:pPr>
              <w:overflowPunct/>
              <w:autoSpaceDE/>
              <w:autoSpaceDN/>
              <w:adjustRightInd/>
              <w:spacing w:line="240" w:lineRule="auto"/>
              <w:ind w:firstLine="0"/>
              <w:jc w:val="center"/>
              <w:textAlignment w:val="auto"/>
              <w:rPr>
                <w:b/>
                <w:bCs/>
                <w:color w:val="000000"/>
                <w:sz w:val="10"/>
                <w:szCs w:val="16"/>
                <w:lang w:val="en-GB" w:eastAsia="en-GB"/>
              </w:rPr>
            </w:pPr>
            <w:r w:rsidRPr="002A61D7">
              <w:rPr>
                <w:b/>
                <w:bCs/>
                <w:color w:val="000000"/>
                <w:sz w:val="10"/>
                <w:szCs w:val="16"/>
                <w:lang w:val="en-GB" w:eastAsia="en-GB"/>
              </w:rPr>
              <w:t>Unlikely</w:t>
            </w:r>
          </w:p>
        </w:tc>
        <w:tc>
          <w:tcPr>
            <w:tcW w:w="450" w:type="dxa"/>
            <w:tcBorders>
              <w:top w:val="single" w:sz="4" w:space="0" w:color="auto"/>
              <w:left w:val="nil"/>
              <w:bottom w:val="single" w:sz="4" w:space="0" w:color="auto"/>
              <w:right w:val="single" w:sz="4" w:space="0" w:color="auto"/>
            </w:tcBorders>
            <w:shd w:val="clear" w:color="auto" w:fill="auto"/>
            <w:hideMark/>
          </w:tcPr>
          <w:p w14:paraId="3536FE1A" w14:textId="77777777" w:rsidR="000F1C77" w:rsidRPr="002A61D7" w:rsidRDefault="000F1C77" w:rsidP="00F675EC">
            <w:pPr>
              <w:overflowPunct/>
              <w:autoSpaceDE/>
              <w:autoSpaceDN/>
              <w:adjustRightInd/>
              <w:spacing w:line="240" w:lineRule="auto"/>
              <w:ind w:firstLine="0"/>
              <w:jc w:val="center"/>
              <w:textAlignment w:val="auto"/>
              <w:rPr>
                <w:b/>
                <w:bCs/>
                <w:color w:val="000000"/>
                <w:sz w:val="10"/>
                <w:szCs w:val="16"/>
                <w:lang w:val="en-GB" w:eastAsia="en-GB"/>
              </w:rPr>
            </w:pPr>
            <w:r w:rsidRPr="002A61D7">
              <w:rPr>
                <w:b/>
                <w:bCs/>
                <w:color w:val="000000"/>
                <w:sz w:val="10"/>
                <w:szCs w:val="16"/>
                <w:lang w:val="en-GB" w:eastAsia="en-GB"/>
              </w:rPr>
              <w:t>Neither likely nor unlikely</w:t>
            </w:r>
          </w:p>
        </w:tc>
        <w:tc>
          <w:tcPr>
            <w:tcW w:w="489" w:type="dxa"/>
            <w:tcBorders>
              <w:top w:val="single" w:sz="4" w:space="0" w:color="auto"/>
              <w:left w:val="nil"/>
              <w:bottom w:val="single" w:sz="4" w:space="0" w:color="auto"/>
              <w:right w:val="single" w:sz="4" w:space="0" w:color="auto"/>
            </w:tcBorders>
            <w:shd w:val="clear" w:color="auto" w:fill="auto"/>
            <w:hideMark/>
          </w:tcPr>
          <w:p w14:paraId="19BEED3C" w14:textId="77777777" w:rsidR="000F1C77" w:rsidRPr="002A61D7" w:rsidRDefault="000F1C77" w:rsidP="00F675EC">
            <w:pPr>
              <w:overflowPunct/>
              <w:autoSpaceDE/>
              <w:autoSpaceDN/>
              <w:adjustRightInd/>
              <w:spacing w:line="240" w:lineRule="auto"/>
              <w:ind w:firstLine="0"/>
              <w:jc w:val="center"/>
              <w:textAlignment w:val="auto"/>
              <w:rPr>
                <w:b/>
                <w:bCs/>
                <w:color w:val="000000"/>
                <w:sz w:val="10"/>
                <w:szCs w:val="16"/>
                <w:lang w:val="en-GB" w:eastAsia="en-GB"/>
              </w:rPr>
            </w:pPr>
            <w:r w:rsidRPr="002A61D7">
              <w:rPr>
                <w:b/>
                <w:bCs/>
                <w:color w:val="000000"/>
                <w:sz w:val="10"/>
                <w:szCs w:val="16"/>
                <w:lang w:val="en-GB" w:eastAsia="en-GB"/>
              </w:rPr>
              <w:t>Likely</w:t>
            </w:r>
          </w:p>
        </w:tc>
        <w:tc>
          <w:tcPr>
            <w:tcW w:w="450" w:type="dxa"/>
            <w:tcBorders>
              <w:top w:val="single" w:sz="4" w:space="0" w:color="auto"/>
              <w:left w:val="nil"/>
              <w:bottom w:val="single" w:sz="4" w:space="0" w:color="auto"/>
              <w:right w:val="single" w:sz="4" w:space="0" w:color="auto"/>
            </w:tcBorders>
            <w:shd w:val="clear" w:color="auto" w:fill="auto"/>
            <w:hideMark/>
          </w:tcPr>
          <w:p w14:paraId="4C9FDCB4" w14:textId="77777777" w:rsidR="000F1C77" w:rsidRPr="002A61D7" w:rsidRDefault="000F1C77" w:rsidP="00F675EC">
            <w:pPr>
              <w:overflowPunct/>
              <w:autoSpaceDE/>
              <w:autoSpaceDN/>
              <w:adjustRightInd/>
              <w:spacing w:line="240" w:lineRule="auto"/>
              <w:ind w:firstLine="0"/>
              <w:jc w:val="center"/>
              <w:textAlignment w:val="auto"/>
              <w:rPr>
                <w:b/>
                <w:bCs/>
                <w:color w:val="000000"/>
                <w:sz w:val="10"/>
                <w:szCs w:val="16"/>
                <w:lang w:val="en-GB" w:eastAsia="en-GB"/>
              </w:rPr>
            </w:pPr>
            <w:r w:rsidRPr="002A61D7">
              <w:rPr>
                <w:b/>
                <w:bCs/>
                <w:color w:val="000000"/>
                <w:sz w:val="10"/>
                <w:szCs w:val="16"/>
                <w:lang w:val="en-GB" w:eastAsia="en-GB"/>
              </w:rPr>
              <w:t>Very likely</w:t>
            </w:r>
          </w:p>
        </w:tc>
        <w:tc>
          <w:tcPr>
            <w:tcW w:w="404" w:type="dxa"/>
            <w:tcBorders>
              <w:top w:val="single" w:sz="4" w:space="0" w:color="auto"/>
              <w:left w:val="nil"/>
              <w:bottom w:val="single" w:sz="4" w:space="0" w:color="auto"/>
              <w:right w:val="single" w:sz="4" w:space="0" w:color="auto"/>
            </w:tcBorders>
            <w:shd w:val="clear" w:color="auto" w:fill="auto"/>
            <w:hideMark/>
          </w:tcPr>
          <w:p w14:paraId="2BE2D14A" w14:textId="77777777" w:rsidR="000F1C77" w:rsidRPr="002A61D7" w:rsidRDefault="000F1C77" w:rsidP="00F675EC">
            <w:pPr>
              <w:overflowPunct/>
              <w:autoSpaceDE/>
              <w:autoSpaceDN/>
              <w:adjustRightInd/>
              <w:spacing w:line="240" w:lineRule="auto"/>
              <w:ind w:firstLine="0"/>
              <w:jc w:val="center"/>
              <w:textAlignment w:val="auto"/>
              <w:rPr>
                <w:b/>
                <w:bCs/>
                <w:color w:val="000000"/>
                <w:sz w:val="10"/>
                <w:szCs w:val="16"/>
                <w:lang w:val="en-GB" w:eastAsia="en-GB"/>
              </w:rPr>
            </w:pPr>
            <w:r w:rsidRPr="002A61D7">
              <w:rPr>
                <w:b/>
                <w:bCs/>
                <w:color w:val="000000"/>
                <w:sz w:val="10"/>
                <w:szCs w:val="16"/>
                <w:lang w:val="en-GB" w:eastAsia="en-GB"/>
              </w:rPr>
              <w:t>No Answer</w:t>
            </w:r>
          </w:p>
        </w:tc>
      </w:tr>
      <w:tr w:rsidR="000F1C77" w:rsidRPr="004A2B9E" w14:paraId="383C51EA" w14:textId="77777777" w:rsidTr="002A61D7">
        <w:trPr>
          <w:trHeight w:val="115"/>
        </w:trPr>
        <w:tc>
          <w:tcPr>
            <w:tcW w:w="1413" w:type="dxa"/>
            <w:vMerge w:val="restart"/>
            <w:tcBorders>
              <w:top w:val="nil"/>
              <w:left w:val="single" w:sz="4" w:space="0" w:color="auto"/>
              <w:bottom w:val="single" w:sz="4" w:space="0" w:color="auto"/>
              <w:right w:val="single" w:sz="4" w:space="0" w:color="auto"/>
            </w:tcBorders>
            <w:shd w:val="clear" w:color="auto" w:fill="auto"/>
            <w:hideMark/>
          </w:tcPr>
          <w:p w14:paraId="5379909E"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Level 1: Embeddedness</w:t>
            </w:r>
          </w:p>
        </w:tc>
        <w:tc>
          <w:tcPr>
            <w:tcW w:w="2693" w:type="dxa"/>
            <w:tcBorders>
              <w:top w:val="nil"/>
              <w:left w:val="nil"/>
              <w:bottom w:val="single" w:sz="4" w:space="0" w:color="auto"/>
              <w:right w:val="single" w:sz="4" w:space="0" w:color="auto"/>
            </w:tcBorders>
            <w:shd w:val="clear" w:color="auto" w:fill="auto"/>
            <w:noWrap/>
            <w:vAlign w:val="bottom"/>
            <w:hideMark/>
          </w:tcPr>
          <w:p w14:paraId="79ADEACA" w14:textId="5DBA0A94"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NIMBYism (Social)</w:t>
            </w:r>
          </w:p>
        </w:tc>
        <w:tc>
          <w:tcPr>
            <w:tcW w:w="450" w:type="dxa"/>
            <w:tcBorders>
              <w:top w:val="nil"/>
              <w:left w:val="nil"/>
              <w:bottom w:val="single" w:sz="4" w:space="0" w:color="auto"/>
              <w:right w:val="single" w:sz="4" w:space="0" w:color="auto"/>
            </w:tcBorders>
            <w:shd w:val="clear" w:color="auto" w:fill="auto"/>
            <w:noWrap/>
            <w:vAlign w:val="bottom"/>
            <w:hideMark/>
          </w:tcPr>
          <w:p w14:paraId="20154F15"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nil"/>
              <w:left w:val="nil"/>
              <w:bottom w:val="single" w:sz="4" w:space="0" w:color="auto"/>
              <w:right w:val="single" w:sz="4" w:space="0" w:color="auto"/>
            </w:tcBorders>
            <w:shd w:val="clear" w:color="auto" w:fill="auto"/>
            <w:noWrap/>
            <w:vAlign w:val="bottom"/>
            <w:hideMark/>
          </w:tcPr>
          <w:p w14:paraId="6C878A4E"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nil"/>
              <w:left w:val="nil"/>
              <w:bottom w:val="single" w:sz="4" w:space="0" w:color="auto"/>
              <w:right w:val="single" w:sz="4" w:space="0" w:color="auto"/>
            </w:tcBorders>
            <w:shd w:val="clear" w:color="auto" w:fill="auto"/>
            <w:noWrap/>
            <w:vAlign w:val="bottom"/>
            <w:hideMark/>
          </w:tcPr>
          <w:p w14:paraId="26D1BC96"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89" w:type="dxa"/>
            <w:tcBorders>
              <w:top w:val="single" w:sz="4" w:space="0" w:color="auto"/>
              <w:left w:val="single" w:sz="4" w:space="0" w:color="auto"/>
              <w:bottom w:val="single" w:sz="4" w:space="0" w:color="auto"/>
              <w:right w:val="single" w:sz="4" w:space="0" w:color="auto"/>
            </w:tcBorders>
            <w:shd w:val="clear" w:color="000000" w:fill="FCD8DB"/>
            <w:noWrap/>
            <w:vAlign w:val="bottom"/>
            <w:hideMark/>
          </w:tcPr>
          <w:p w14:paraId="573C8FD9"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30%</w:t>
            </w:r>
          </w:p>
        </w:tc>
        <w:tc>
          <w:tcPr>
            <w:tcW w:w="450" w:type="dxa"/>
            <w:tcBorders>
              <w:top w:val="single" w:sz="4" w:space="0" w:color="auto"/>
              <w:left w:val="single" w:sz="4" w:space="0" w:color="auto"/>
              <w:bottom w:val="single" w:sz="4" w:space="0" w:color="auto"/>
              <w:right w:val="single" w:sz="4" w:space="0" w:color="auto"/>
            </w:tcBorders>
            <w:shd w:val="clear" w:color="000000" w:fill="FA8E91"/>
            <w:noWrap/>
            <w:vAlign w:val="bottom"/>
            <w:hideMark/>
          </w:tcPr>
          <w:p w14:paraId="49674B01"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70%</w:t>
            </w:r>
          </w:p>
        </w:tc>
        <w:tc>
          <w:tcPr>
            <w:tcW w:w="404" w:type="dxa"/>
            <w:tcBorders>
              <w:top w:val="nil"/>
              <w:left w:val="nil"/>
              <w:bottom w:val="single" w:sz="4" w:space="0" w:color="auto"/>
              <w:right w:val="single" w:sz="4" w:space="0" w:color="auto"/>
            </w:tcBorders>
            <w:shd w:val="clear" w:color="auto" w:fill="auto"/>
            <w:noWrap/>
            <w:vAlign w:val="bottom"/>
            <w:hideMark/>
          </w:tcPr>
          <w:p w14:paraId="1AB530AB"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r>
      <w:tr w:rsidR="000F1C77" w:rsidRPr="004A2B9E" w14:paraId="76DF1CD5" w14:textId="77777777" w:rsidTr="002A61D7">
        <w:trPr>
          <w:trHeight w:val="103"/>
        </w:trPr>
        <w:tc>
          <w:tcPr>
            <w:tcW w:w="1413" w:type="dxa"/>
            <w:vMerge/>
            <w:tcBorders>
              <w:top w:val="nil"/>
              <w:left w:val="single" w:sz="4" w:space="0" w:color="auto"/>
              <w:bottom w:val="single" w:sz="4" w:space="0" w:color="auto"/>
              <w:right w:val="single" w:sz="4" w:space="0" w:color="auto"/>
            </w:tcBorders>
            <w:vAlign w:val="center"/>
            <w:hideMark/>
          </w:tcPr>
          <w:p w14:paraId="7D1F5047"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14:paraId="35579E91" w14:textId="5C8F77C2"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Housing Crisis (Social)</w:t>
            </w:r>
          </w:p>
        </w:tc>
        <w:tc>
          <w:tcPr>
            <w:tcW w:w="450" w:type="dxa"/>
            <w:tcBorders>
              <w:top w:val="nil"/>
              <w:left w:val="nil"/>
              <w:bottom w:val="single" w:sz="4" w:space="0" w:color="auto"/>
              <w:right w:val="single" w:sz="4" w:space="0" w:color="auto"/>
            </w:tcBorders>
            <w:shd w:val="clear" w:color="auto" w:fill="auto"/>
            <w:noWrap/>
            <w:vAlign w:val="bottom"/>
            <w:hideMark/>
          </w:tcPr>
          <w:p w14:paraId="7D6AF45E"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nil"/>
              <w:left w:val="nil"/>
              <w:bottom w:val="single" w:sz="4" w:space="0" w:color="auto"/>
              <w:right w:val="single" w:sz="4" w:space="0" w:color="auto"/>
            </w:tcBorders>
            <w:shd w:val="clear" w:color="auto" w:fill="auto"/>
            <w:noWrap/>
            <w:vAlign w:val="bottom"/>
            <w:hideMark/>
          </w:tcPr>
          <w:p w14:paraId="0B2DB63C"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nil"/>
              <w:left w:val="nil"/>
              <w:bottom w:val="single" w:sz="4" w:space="0" w:color="auto"/>
              <w:right w:val="single" w:sz="4" w:space="0" w:color="auto"/>
            </w:tcBorders>
            <w:shd w:val="clear" w:color="auto" w:fill="auto"/>
            <w:noWrap/>
            <w:vAlign w:val="bottom"/>
            <w:hideMark/>
          </w:tcPr>
          <w:p w14:paraId="73B4C77A"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89" w:type="dxa"/>
            <w:tcBorders>
              <w:top w:val="single" w:sz="4" w:space="0" w:color="auto"/>
              <w:left w:val="single" w:sz="4" w:space="0" w:color="auto"/>
              <w:bottom w:val="single" w:sz="4" w:space="0" w:color="auto"/>
              <w:right w:val="single" w:sz="4" w:space="0" w:color="auto"/>
            </w:tcBorders>
            <w:shd w:val="clear" w:color="000000" w:fill="FCD8DB"/>
            <w:noWrap/>
            <w:vAlign w:val="bottom"/>
            <w:hideMark/>
          </w:tcPr>
          <w:p w14:paraId="79558F8C"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30%</w:t>
            </w:r>
          </w:p>
        </w:tc>
        <w:tc>
          <w:tcPr>
            <w:tcW w:w="450" w:type="dxa"/>
            <w:tcBorders>
              <w:top w:val="single" w:sz="4" w:space="0" w:color="auto"/>
              <w:left w:val="single" w:sz="4" w:space="0" w:color="auto"/>
              <w:bottom w:val="single" w:sz="4" w:space="0" w:color="auto"/>
              <w:right w:val="single" w:sz="4" w:space="0" w:color="auto"/>
            </w:tcBorders>
            <w:shd w:val="clear" w:color="000000" w:fill="FA8E91"/>
            <w:noWrap/>
            <w:vAlign w:val="bottom"/>
            <w:hideMark/>
          </w:tcPr>
          <w:p w14:paraId="6270F45B"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70%</w:t>
            </w:r>
          </w:p>
        </w:tc>
        <w:tc>
          <w:tcPr>
            <w:tcW w:w="404" w:type="dxa"/>
            <w:tcBorders>
              <w:top w:val="nil"/>
              <w:left w:val="nil"/>
              <w:bottom w:val="single" w:sz="4" w:space="0" w:color="auto"/>
              <w:right w:val="single" w:sz="4" w:space="0" w:color="auto"/>
            </w:tcBorders>
            <w:shd w:val="clear" w:color="auto" w:fill="auto"/>
            <w:noWrap/>
            <w:vAlign w:val="bottom"/>
            <w:hideMark/>
          </w:tcPr>
          <w:p w14:paraId="225B22B3"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r>
      <w:tr w:rsidR="000F1C77" w:rsidRPr="004A2B9E" w14:paraId="39AB2F93" w14:textId="77777777" w:rsidTr="002A61D7">
        <w:trPr>
          <w:trHeight w:val="104"/>
        </w:trPr>
        <w:tc>
          <w:tcPr>
            <w:tcW w:w="1413" w:type="dxa"/>
            <w:vMerge w:val="restart"/>
            <w:tcBorders>
              <w:top w:val="nil"/>
              <w:left w:val="single" w:sz="4" w:space="0" w:color="auto"/>
              <w:bottom w:val="single" w:sz="4" w:space="0" w:color="auto"/>
              <w:right w:val="single" w:sz="4" w:space="0" w:color="auto"/>
            </w:tcBorders>
            <w:shd w:val="clear" w:color="auto" w:fill="auto"/>
            <w:hideMark/>
          </w:tcPr>
          <w:p w14:paraId="686214F5"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Level 2: Institutional Environment</w:t>
            </w:r>
          </w:p>
        </w:tc>
        <w:tc>
          <w:tcPr>
            <w:tcW w:w="2693" w:type="dxa"/>
            <w:tcBorders>
              <w:top w:val="nil"/>
              <w:left w:val="nil"/>
              <w:bottom w:val="single" w:sz="4" w:space="0" w:color="auto"/>
              <w:right w:val="single" w:sz="4" w:space="0" w:color="auto"/>
            </w:tcBorders>
            <w:shd w:val="clear" w:color="auto" w:fill="auto"/>
            <w:noWrap/>
            <w:vAlign w:val="bottom"/>
            <w:hideMark/>
          </w:tcPr>
          <w:p w14:paraId="15CAE554" w14:textId="0BE3E400" w:rsidR="000F1C77" w:rsidRPr="004A2B9E" w:rsidRDefault="000F1C77" w:rsidP="002A61D7">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Anti-climate political party (Political)</w:t>
            </w:r>
          </w:p>
        </w:tc>
        <w:tc>
          <w:tcPr>
            <w:tcW w:w="450" w:type="dxa"/>
            <w:tcBorders>
              <w:top w:val="single" w:sz="4" w:space="0" w:color="auto"/>
              <w:left w:val="single" w:sz="4" w:space="0" w:color="auto"/>
              <w:bottom w:val="single" w:sz="4" w:space="0" w:color="auto"/>
              <w:right w:val="single" w:sz="4" w:space="0" w:color="auto"/>
            </w:tcBorders>
            <w:shd w:val="clear" w:color="000000" w:fill="FCD8DB"/>
            <w:noWrap/>
            <w:vAlign w:val="bottom"/>
            <w:hideMark/>
          </w:tcPr>
          <w:p w14:paraId="23CC97B1"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30%</w:t>
            </w:r>
          </w:p>
        </w:tc>
        <w:tc>
          <w:tcPr>
            <w:tcW w:w="450" w:type="dxa"/>
            <w:tcBorders>
              <w:top w:val="single" w:sz="4" w:space="0" w:color="auto"/>
              <w:left w:val="single" w:sz="4" w:space="0" w:color="auto"/>
              <w:bottom w:val="single" w:sz="4" w:space="0" w:color="auto"/>
              <w:right w:val="single" w:sz="4" w:space="0" w:color="auto"/>
            </w:tcBorders>
            <w:shd w:val="clear" w:color="000000" w:fill="FCEAED"/>
            <w:noWrap/>
            <w:vAlign w:val="bottom"/>
            <w:hideMark/>
          </w:tcPr>
          <w:p w14:paraId="7AE42269"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20%</w:t>
            </w:r>
          </w:p>
        </w:tc>
        <w:tc>
          <w:tcPr>
            <w:tcW w:w="450"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1D09106E"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89" w:type="dxa"/>
            <w:tcBorders>
              <w:top w:val="single" w:sz="4" w:space="0" w:color="auto"/>
              <w:left w:val="single" w:sz="4" w:space="0" w:color="auto"/>
              <w:bottom w:val="single" w:sz="4" w:space="0" w:color="auto"/>
              <w:right w:val="single" w:sz="4" w:space="0" w:color="auto"/>
            </w:tcBorders>
            <w:shd w:val="clear" w:color="000000" w:fill="FBC5C8"/>
            <w:noWrap/>
            <w:vAlign w:val="bottom"/>
            <w:hideMark/>
          </w:tcPr>
          <w:p w14:paraId="7FC81038"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40%</w:t>
            </w:r>
          </w:p>
        </w:tc>
        <w:tc>
          <w:tcPr>
            <w:tcW w:w="450" w:type="dxa"/>
            <w:tcBorders>
              <w:top w:val="nil"/>
              <w:left w:val="nil"/>
              <w:bottom w:val="single" w:sz="4" w:space="0" w:color="auto"/>
              <w:right w:val="single" w:sz="4" w:space="0" w:color="auto"/>
            </w:tcBorders>
            <w:shd w:val="clear" w:color="auto" w:fill="auto"/>
            <w:noWrap/>
            <w:vAlign w:val="bottom"/>
            <w:hideMark/>
          </w:tcPr>
          <w:p w14:paraId="39232064"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04" w:type="dxa"/>
            <w:tcBorders>
              <w:top w:val="nil"/>
              <w:left w:val="nil"/>
              <w:bottom w:val="single" w:sz="4" w:space="0" w:color="auto"/>
              <w:right w:val="single" w:sz="4" w:space="0" w:color="auto"/>
            </w:tcBorders>
            <w:shd w:val="clear" w:color="auto" w:fill="auto"/>
            <w:noWrap/>
            <w:vAlign w:val="bottom"/>
            <w:hideMark/>
          </w:tcPr>
          <w:p w14:paraId="139E7379"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r>
      <w:tr w:rsidR="000F1C77" w:rsidRPr="004A2B9E" w14:paraId="0A1C066D" w14:textId="77777777" w:rsidTr="002A61D7">
        <w:trPr>
          <w:trHeight w:val="95"/>
        </w:trPr>
        <w:tc>
          <w:tcPr>
            <w:tcW w:w="1413" w:type="dxa"/>
            <w:vMerge/>
            <w:tcBorders>
              <w:top w:val="nil"/>
              <w:left w:val="single" w:sz="4" w:space="0" w:color="auto"/>
              <w:bottom w:val="single" w:sz="4" w:space="0" w:color="auto"/>
              <w:right w:val="single" w:sz="4" w:space="0" w:color="auto"/>
            </w:tcBorders>
            <w:vAlign w:val="center"/>
            <w:hideMark/>
          </w:tcPr>
          <w:p w14:paraId="774CDB23"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14:paraId="5A7FCB85" w14:textId="21802772"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Long PSC approval times (Technological)</w:t>
            </w:r>
          </w:p>
        </w:tc>
        <w:tc>
          <w:tcPr>
            <w:tcW w:w="450" w:type="dxa"/>
            <w:tcBorders>
              <w:top w:val="nil"/>
              <w:left w:val="nil"/>
              <w:bottom w:val="single" w:sz="4" w:space="0" w:color="auto"/>
              <w:right w:val="single" w:sz="4" w:space="0" w:color="auto"/>
            </w:tcBorders>
            <w:shd w:val="clear" w:color="auto" w:fill="auto"/>
            <w:noWrap/>
            <w:vAlign w:val="bottom"/>
            <w:hideMark/>
          </w:tcPr>
          <w:p w14:paraId="73AF8641"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2FBE5CC2"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50" w:type="dxa"/>
            <w:tcBorders>
              <w:top w:val="single" w:sz="4" w:space="0" w:color="auto"/>
              <w:left w:val="single" w:sz="4" w:space="0" w:color="auto"/>
              <w:bottom w:val="single" w:sz="4" w:space="0" w:color="auto"/>
              <w:right w:val="single" w:sz="4" w:space="0" w:color="auto"/>
            </w:tcBorders>
            <w:shd w:val="clear" w:color="000000" w:fill="FCEAED"/>
            <w:noWrap/>
            <w:vAlign w:val="bottom"/>
            <w:hideMark/>
          </w:tcPr>
          <w:p w14:paraId="34F93CBE"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20%</w:t>
            </w:r>
          </w:p>
        </w:tc>
        <w:tc>
          <w:tcPr>
            <w:tcW w:w="489" w:type="dxa"/>
            <w:tcBorders>
              <w:top w:val="single" w:sz="4" w:space="0" w:color="auto"/>
              <w:left w:val="single" w:sz="4" w:space="0" w:color="auto"/>
              <w:bottom w:val="single" w:sz="4" w:space="0" w:color="auto"/>
              <w:right w:val="single" w:sz="4" w:space="0" w:color="auto"/>
            </w:tcBorders>
            <w:shd w:val="clear" w:color="000000" w:fill="FCD8DB"/>
            <w:noWrap/>
            <w:vAlign w:val="bottom"/>
            <w:hideMark/>
          </w:tcPr>
          <w:p w14:paraId="589C1CB0"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30%</w:t>
            </w:r>
          </w:p>
        </w:tc>
        <w:tc>
          <w:tcPr>
            <w:tcW w:w="450" w:type="dxa"/>
            <w:tcBorders>
              <w:top w:val="single" w:sz="4" w:space="0" w:color="auto"/>
              <w:left w:val="single" w:sz="4" w:space="0" w:color="auto"/>
              <w:bottom w:val="single" w:sz="4" w:space="0" w:color="auto"/>
              <w:right w:val="single" w:sz="4" w:space="0" w:color="auto"/>
            </w:tcBorders>
            <w:shd w:val="clear" w:color="000000" w:fill="FCD8DB"/>
            <w:noWrap/>
            <w:vAlign w:val="bottom"/>
            <w:hideMark/>
          </w:tcPr>
          <w:p w14:paraId="780579B4"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30%</w:t>
            </w:r>
          </w:p>
        </w:tc>
        <w:tc>
          <w:tcPr>
            <w:tcW w:w="404" w:type="dxa"/>
            <w:tcBorders>
              <w:top w:val="nil"/>
              <w:left w:val="nil"/>
              <w:bottom w:val="single" w:sz="4" w:space="0" w:color="auto"/>
              <w:right w:val="single" w:sz="4" w:space="0" w:color="auto"/>
            </w:tcBorders>
            <w:shd w:val="clear" w:color="auto" w:fill="auto"/>
            <w:noWrap/>
            <w:vAlign w:val="bottom"/>
            <w:hideMark/>
          </w:tcPr>
          <w:p w14:paraId="051AF291"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r>
      <w:tr w:rsidR="000F1C77" w:rsidRPr="004A2B9E" w14:paraId="3C05E15C" w14:textId="77777777" w:rsidTr="002A61D7">
        <w:trPr>
          <w:trHeight w:val="83"/>
        </w:trPr>
        <w:tc>
          <w:tcPr>
            <w:tcW w:w="1413" w:type="dxa"/>
            <w:vMerge/>
            <w:tcBorders>
              <w:top w:val="nil"/>
              <w:left w:val="single" w:sz="4" w:space="0" w:color="auto"/>
              <w:bottom w:val="single" w:sz="4" w:space="0" w:color="auto"/>
              <w:right w:val="single" w:sz="4" w:space="0" w:color="auto"/>
            </w:tcBorders>
            <w:vAlign w:val="center"/>
            <w:hideMark/>
          </w:tcPr>
          <w:p w14:paraId="702F3F76"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14:paraId="5FA29717" w14:textId="324B9673"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Planning system (Legal)</w:t>
            </w:r>
          </w:p>
        </w:tc>
        <w:tc>
          <w:tcPr>
            <w:tcW w:w="450" w:type="dxa"/>
            <w:tcBorders>
              <w:top w:val="nil"/>
              <w:left w:val="nil"/>
              <w:bottom w:val="single" w:sz="4" w:space="0" w:color="auto"/>
              <w:right w:val="single" w:sz="4" w:space="0" w:color="auto"/>
            </w:tcBorders>
            <w:shd w:val="clear" w:color="auto" w:fill="auto"/>
            <w:noWrap/>
            <w:vAlign w:val="bottom"/>
            <w:hideMark/>
          </w:tcPr>
          <w:p w14:paraId="7B8B25B1"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2431FD6D"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50"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2CD3F778"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89" w:type="dxa"/>
            <w:tcBorders>
              <w:top w:val="single" w:sz="4" w:space="0" w:color="auto"/>
              <w:left w:val="single" w:sz="4" w:space="0" w:color="auto"/>
              <w:bottom w:val="single" w:sz="4" w:space="0" w:color="auto"/>
              <w:right w:val="single" w:sz="4" w:space="0" w:color="auto"/>
            </w:tcBorders>
            <w:shd w:val="clear" w:color="000000" w:fill="FCEAED"/>
            <w:noWrap/>
            <w:vAlign w:val="bottom"/>
            <w:hideMark/>
          </w:tcPr>
          <w:p w14:paraId="5AC98B43"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20%</w:t>
            </w:r>
          </w:p>
        </w:tc>
        <w:tc>
          <w:tcPr>
            <w:tcW w:w="450" w:type="dxa"/>
            <w:tcBorders>
              <w:top w:val="single" w:sz="4" w:space="0" w:color="auto"/>
              <w:left w:val="single" w:sz="4" w:space="0" w:color="auto"/>
              <w:bottom w:val="single" w:sz="4" w:space="0" w:color="auto"/>
              <w:right w:val="single" w:sz="4" w:space="0" w:color="auto"/>
            </w:tcBorders>
            <w:shd w:val="clear" w:color="000000" w:fill="FAA1A3"/>
            <w:noWrap/>
            <w:vAlign w:val="bottom"/>
            <w:hideMark/>
          </w:tcPr>
          <w:p w14:paraId="00F06CEC"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60%</w:t>
            </w:r>
          </w:p>
        </w:tc>
        <w:tc>
          <w:tcPr>
            <w:tcW w:w="404" w:type="dxa"/>
            <w:tcBorders>
              <w:top w:val="nil"/>
              <w:left w:val="nil"/>
              <w:bottom w:val="single" w:sz="4" w:space="0" w:color="auto"/>
              <w:right w:val="single" w:sz="4" w:space="0" w:color="auto"/>
            </w:tcBorders>
            <w:shd w:val="clear" w:color="auto" w:fill="auto"/>
            <w:noWrap/>
            <w:vAlign w:val="bottom"/>
            <w:hideMark/>
          </w:tcPr>
          <w:p w14:paraId="228F5C93"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r>
      <w:tr w:rsidR="000F1C77" w:rsidRPr="004A2B9E" w14:paraId="493CA95C" w14:textId="77777777" w:rsidTr="002A61D7">
        <w:trPr>
          <w:trHeight w:val="84"/>
        </w:trPr>
        <w:tc>
          <w:tcPr>
            <w:tcW w:w="1413" w:type="dxa"/>
            <w:vMerge w:val="restart"/>
            <w:tcBorders>
              <w:top w:val="nil"/>
              <w:left w:val="single" w:sz="4" w:space="0" w:color="auto"/>
              <w:bottom w:val="single" w:sz="4" w:space="0" w:color="auto"/>
              <w:right w:val="single" w:sz="4" w:space="0" w:color="auto"/>
            </w:tcBorders>
            <w:shd w:val="clear" w:color="auto" w:fill="auto"/>
            <w:hideMark/>
          </w:tcPr>
          <w:p w14:paraId="48A36368"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Level 3: Institutional arrangement</w:t>
            </w:r>
          </w:p>
        </w:tc>
        <w:tc>
          <w:tcPr>
            <w:tcW w:w="2693" w:type="dxa"/>
            <w:tcBorders>
              <w:top w:val="nil"/>
              <w:left w:val="nil"/>
              <w:bottom w:val="single" w:sz="4" w:space="0" w:color="auto"/>
              <w:right w:val="single" w:sz="4" w:space="0" w:color="auto"/>
            </w:tcBorders>
            <w:shd w:val="clear" w:color="auto" w:fill="auto"/>
            <w:noWrap/>
            <w:vAlign w:val="bottom"/>
            <w:hideMark/>
          </w:tcPr>
          <w:p w14:paraId="3F297695" w14:textId="0F51C8FF"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Budget reduction (Political)</w:t>
            </w:r>
          </w:p>
        </w:tc>
        <w:tc>
          <w:tcPr>
            <w:tcW w:w="450"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34B6F7E3"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50" w:type="dxa"/>
            <w:tcBorders>
              <w:top w:val="single" w:sz="4" w:space="0" w:color="auto"/>
              <w:left w:val="single" w:sz="4" w:space="0" w:color="auto"/>
              <w:bottom w:val="single" w:sz="4" w:space="0" w:color="auto"/>
              <w:right w:val="single" w:sz="4" w:space="0" w:color="auto"/>
            </w:tcBorders>
            <w:shd w:val="clear" w:color="000000" w:fill="FCD8DB"/>
            <w:noWrap/>
            <w:vAlign w:val="bottom"/>
            <w:hideMark/>
          </w:tcPr>
          <w:p w14:paraId="6A509D6C"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30%</w:t>
            </w:r>
          </w:p>
        </w:tc>
        <w:tc>
          <w:tcPr>
            <w:tcW w:w="450" w:type="dxa"/>
            <w:tcBorders>
              <w:top w:val="nil"/>
              <w:left w:val="nil"/>
              <w:bottom w:val="single" w:sz="4" w:space="0" w:color="auto"/>
              <w:right w:val="single" w:sz="4" w:space="0" w:color="auto"/>
            </w:tcBorders>
            <w:shd w:val="clear" w:color="auto" w:fill="auto"/>
            <w:noWrap/>
            <w:vAlign w:val="bottom"/>
            <w:hideMark/>
          </w:tcPr>
          <w:p w14:paraId="31B42FE5"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89" w:type="dxa"/>
            <w:tcBorders>
              <w:top w:val="single" w:sz="4" w:space="0" w:color="auto"/>
              <w:left w:val="single" w:sz="4" w:space="0" w:color="auto"/>
              <w:bottom w:val="single" w:sz="4" w:space="0" w:color="auto"/>
              <w:right w:val="single" w:sz="4" w:space="0" w:color="auto"/>
            </w:tcBorders>
            <w:shd w:val="clear" w:color="000000" w:fill="FBC5C8"/>
            <w:noWrap/>
            <w:vAlign w:val="bottom"/>
            <w:hideMark/>
          </w:tcPr>
          <w:p w14:paraId="689E411A"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40%</w:t>
            </w:r>
          </w:p>
        </w:tc>
        <w:tc>
          <w:tcPr>
            <w:tcW w:w="450"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1A346547"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04" w:type="dxa"/>
            <w:tcBorders>
              <w:top w:val="nil"/>
              <w:left w:val="nil"/>
              <w:bottom w:val="single" w:sz="4" w:space="0" w:color="auto"/>
              <w:right w:val="single" w:sz="4" w:space="0" w:color="auto"/>
            </w:tcBorders>
            <w:shd w:val="clear" w:color="auto" w:fill="auto"/>
            <w:noWrap/>
            <w:vAlign w:val="bottom"/>
            <w:hideMark/>
          </w:tcPr>
          <w:p w14:paraId="671E1EAC"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r>
      <w:tr w:rsidR="000F1C77" w:rsidRPr="004A2B9E" w14:paraId="24CD389E" w14:textId="77777777" w:rsidTr="002A61D7">
        <w:trPr>
          <w:trHeight w:val="72"/>
        </w:trPr>
        <w:tc>
          <w:tcPr>
            <w:tcW w:w="1413" w:type="dxa"/>
            <w:vMerge/>
            <w:tcBorders>
              <w:top w:val="nil"/>
              <w:left w:val="single" w:sz="4" w:space="0" w:color="auto"/>
              <w:bottom w:val="single" w:sz="4" w:space="0" w:color="auto"/>
              <w:right w:val="single" w:sz="4" w:space="0" w:color="auto"/>
            </w:tcBorders>
            <w:vAlign w:val="center"/>
            <w:hideMark/>
          </w:tcPr>
          <w:p w14:paraId="3739F993"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14:paraId="46285D5C" w14:textId="1717828B"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More PPPs (Economic)</w:t>
            </w:r>
          </w:p>
        </w:tc>
        <w:tc>
          <w:tcPr>
            <w:tcW w:w="450" w:type="dxa"/>
            <w:tcBorders>
              <w:top w:val="nil"/>
              <w:left w:val="nil"/>
              <w:bottom w:val="single" w:sz="4" w:space="0" w:color="auto"/>
              <w:right w:val="single" w:sz="4" w:space="0" w:color="auto"/>
            </w:tcBorders>
            <w:shd w:val="clear" w:color="auto" w:fill="auto"/>
            <w:noWrap/>
            <w:vAlign w:val="bottom"/>
            <w:hideMark/>
          </w:tcPr>
          <w:p w14:paraId="15926DEA"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single" w:sz="4" w:space="0" w:color="auto"/>
              <w:left w:val="single" w:sz="4" w:space="0" w:color="auto"/>
              <w:bottom w:val="single" w:sz="4" w:space="0" w:color="auto"/>
              <w:right w:val="single" w:sz="4" w:space="0" w:color="auto"/>
            </w:tcBorders>
            <w:shd w:val="clear" w:color="000000" w:fill="FCEAED"/>
            <w:noWrap/>
            <w:vAlign w:val="bottom"/>
            <w:hideMark/>
          </w:tcPr>
          <w:p w14:paraId="2D8F552B"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20%</w:t>
            </w:r>
          </w:p>
        </w:tc>
        <w:tc>
          <w:tcPr>
            <w:tcW w:w="450" w:type="dxa"/>
            <w:tcBorders>
              <w:top w:val="single" w:sz="4" w:space="0" w:color="auto"/>
              <w:left w:val="single" w:sz="4" w:space="0" w:color="auto"/>
              <w:bottom w:val="single" w:sz="4" w:space="0" w:color="auto"/>
              <w:right w:val="single" w:sz="4" w:space="0" w:color="auto"/>
            </w:tcBorders>
            <w:shd w:val="clear" w:color="000000" w:fill="FAB3B5"/>
            <w:noWrap/>
            <w:vAlign w:val="bottom"/>
            <w:hideMark/>
          </w:tcPr>
          <w:p w14:paraId="6EC31E12"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50%</w:t>
            </w:r>
          </w:p>
        </w:tc>
        <w:tc>
          <w:tcPr>
            <w:tcW w:w="489" w:type="dxa"/>
            <w:tcBorders>
              <w:top w:val="nil"/>
              <w:left w:val="nil"/>
              <w:bottom w:val="single" w:sz="4" w:space="0" w:color="auto"/>
              <w:right w:val="single" w:sz="4" w:space="0" w:color="auto"/>
            </w:tcBorders>
            <w:shd w:val="clear" w:color="auto" w:fill="auto"/>
            <w:noWrap/>
            <w:vAlign w:val="bottom"/>
            <w:hideMark/>
          </w:tcPr>
          <w:p w14:paraId="4E65955E"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2A2028AB"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04" w:type="dxa"/>
            <w:tcBorders>
              <w:top w:val="nil"/>
              <w:left w:val="nil"/>
              <w:bottom w:val="single" w:sz="4" w:space="0" w:color="auto"/>
              <w:right w:val="single" w:sz="4" w:space="0" w:color="auto"/>
            </w:tcBorders>
            <w:shd w:val="clear" w:color="auto" w:fill="auto"/>
            <w:noWrap/>
            <w:vAlign w:val="bottom"/>
            <w:hideMark/>
          </w:tcPr>
          <w:p w14:paraId="2EC4E2B7"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20%</w:t>
            </w:r>
          </w:p>
        </w:tc>
      </w:tr>
      <w:tr w:rsidR="000F1C77" w:rsidRPr="004A2B9E" w14:paraId="473F4BC5" w14:textId="77777777" w:rsidTr="002A61D7">
        <w:trPr>
          <w:trHeight w:val="61"/>
        </w:trPr>
        <w:tc>
          <w:tcPr>
            <w:tcW w:w="1413" w:type="dxa"/>
            <w:vMerge/>
            <w:tcBorders>
              <w:top w:val="nil"/>
              <w:left w:val="single" w:sz="4" w:space="0" w:color="auto"/>
              <w:bottom w:val="single" w:sz="4" w:space="0" w:color="auto"/>
              <w:right w:val="single" w:sz="4" w:space="0" w:color="auto"/>
            </w:tcBorders>
            <w:vAlign w:val="center"/>
            <w:hideMark/>
          </w:tcPr>
          <w:p w14:paraId="7001D0D9"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14:paraId="10B611AA" w14:textId="67D3C574"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Construction sector low capacity (Economic)</w:t>
            </w:r>
          </w:p>
        </w:tc>
        <w:tc>
          <w:tcPr>
            <w:tcW w:w="450"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33D071E9"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50" w:type="dxa"/>
            <w:tcBorders>
              <w:top w:val="nil"/>
              <w:left w:val="nil"/>
              <w:bottom w:val="single" w:sz="4" w:space="0" w:color="auto"/>
              <w:right w:val="single" w:sz="4" w:space="0" w:color="auto"/>
            </w:tcBorders>
            <w:shd w:val="clear" w:color="auto" w:fill="auto"/>
            <w:noWrap/>
            <w:vAlign w:val="bottom"/>
            <w:hideMark/>
          </w:tcPr>
          <w:p w14:paraId="5EAED89A"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nil"/>
              <w:left w:val="nil"/>
              <w:bottom w:val="single" w:sz="4" w:space="0" w:color="auto"/>
              <w:right w:val="single" w:sz="4" w:space="0" w:color="auto"/>
            </w:tcBorders>
            <w:shd w:val="clear" w:color="auto" w:fill="auto"/>
            <w:noWrap/>
            <w:vAlign w:val="bottom"/>
            <w:hideMark/>
          </w:tcPr>
          <w:p w14:paraId="74B8676E"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89" w:type="dxa"/>
            <w:tcBorders>
              <w:top w:val="single" w:sz="4" w:space="0" w:color="auto"/>
              <w:left w:val="single" w:sz="4" w:space="0" w:color="auto"/>
              <w:bottom w:val="single" w:sz="4" w:space="0" w:color="auto"/>
              <w:right w:val="single" w:sz="4" w:space="0" w:color="auto"/>
            </w:tcBorders>
            <w:shd w:val="clear" w:color="000000" w:fill="FBC5C8"/>
            <w:noWrap/>
            <w:vAlign w:val="bottom"/>
            <w:hideMark/>
          </w:tcPr>
          <w:p w14:paraId="6164DED8"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40%</w:t>
            </w:r>
          </w:p>
        </w:tc>
        <w:tc>
          <w:tcPr>
            <w:tcW w:w="450" w:type="dxa"/>
            <w:tcBorders>
              <w:top w:val="single" w:sz="4" w:space="0" w:color="auto"/>
              <w:left w:val="single" w:sz="4" w:space="0" w:color="auto"/>
              <w:bottom w:val="single" w:sz="4" w:space="0" w:color="auto"/>
              <w:right w:val="single" w:sz="4" w:space="0" w:color="auto"/>
            </w:tcBorders>
            <w:shd w:val="clear" w:color="000000" w:fill="FBC5C8"/>
            <w:noWrap/>
            <w:vAlign w:val="bottom"/>
            <w:hideMark/>
          </w:tcPr>
          <w:p w14:paraId="75C5F648"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40%</w:t>
            </w:r>
          </w:p>
        </w:tc>
        <w:tc>
          <w:tcPr>
            <w:tcW w:w="404" w:type="dxa"/>
            <w:tcBorders>
              <w:top w:val="nil"/>
              <w:left w:val="nil"/>
              <w:bottom w:val="single" w:sz="4" w:space="0" w:color="auto"/>
              <w:right w:val="single" w:sz="4" w:space="0" w:color="auto"/>
            </w:tcBorders>
            <w:shd w:val="clear" w:color="auto" w:fill="auto"/>
            <w:noWrap/>
            <w:vAlign w:val="bottom"/>
            <w:hideMark/>
          </w:tcPr>
          <w:p w14:paraId="468624FD"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r>
      <w:tr w:rsidR="000F1C77" w:rsidRPr="004A2B9E" w14:paraId="423D69CF" w14:textId="77777777" w:rsidTr="002A61D7">
        <w:trPr>
          <w:trHeight w:val="63"/>
        </w:trPr>
        <w:tc>
          <w:tcPr>
            <w:tcW w:w="1413" w:type="dxa"/>
            <w:vMerge w:val="restart"/>
            <w:tcBorders>
              <w:top w:val="nil"/>
              <w:left w:val="single" w:sz="4" w:space="0" w:color="auto"/>
              <w:bottom w:val="single" w:sz="4" w:space="0" w:color="auto"/>
              <w:right w:val="single" w:sz="4" w:space="0" w:color="auto"/>
            </w:tcBorders>
            <w:shd w:val="clear" w:color="auto" w:fill="auto"/>
            <w:hideMark/>
          </w:tcPr>
          <w:p w14:paraId="624AA00D"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Level 4: Resource Allocation</w:t>
            </w:r>
          </w:p>
        </w:tc>
        <w:tc>
          <w:tcPr>
            <w:tcW w:w="2693" w:type="dxa"/>
            <w:tcBorders>
              <w:top w:val="nil"/>
              <w:left w:val="nil"/>
              <w:bottom w:val="single" w:sz="4" w:space="0" w:color="auto"/>
              <w:right w:val="single" w:sz="4" w:space="0" w:color="auto"/>
            </w:tcBorders>
            <w:shd w:val="clear" w:color="auto" w:fill="auto"/>
            <w:noWrap/>
            <w:vAlign w:val="bottom"/>
            <w:hideMark/>
          </w:tcPr>
          <w:p w14:paraId="63EB0A9B" w14:textId="1AB85861"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Greater Private sector participation (Economic)</w:t>
            </w:r>
          </w:p>
        </w:tc>
        <w:tc>
          <w:tcPr>
            <w:tcW w:w="450" w:type="dxa"/>
            <w:tcBorders>
              <w:top w:val="single" w:sz="4" w:space="0" w:color="auto"/>
              <w:left w:val="single" w:sz="4" w:space="0" w:color="auto"/>
              <w:bottom w:val="single" w:sz="4" w:space="0" w:color="auto"/>
              <w:right w:val="single" w:sz="4" w:space="0" w:color="auto"/>
            </w:tcBorders>
            <w:shd w:val="clear" w:color="000000" w:fill="FCD8DB"/>
            <w:noWrap/>
            <w:vAlign w:val="bottom"/>
            <w:hideMark/>
          </w:tcPr>
          <w:p w14:paraId="4B02CE20"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30%</w:t>
            </w:r>
          </w:p>
        </w:tc>
        <w:tc>
          <w:tcPr>
            <w:tcW w:w="450"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45AA7818"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50" w:type="dxa"/>
            <w:tcBorders>
              <w:top w:val="single" w:sz="4" w:space="0" w:color="auto"/>
              <w:left w:val="single" w:sz="4" w:space="0" w:color="auto"/>
              <w:bottom w:val="single" w:sz="4" w:space="0" w:color="auto"/>
              <w:right w:val="single" w:sz="4" w:space="0" w:color="auto"/>
            </w:tcBorders>
            <w:shd w:val="clear" w:color="000000" w:fill="FCEAED"/>
            <w:noWrap/>
            <w:vAlign w:val="bottom"/>
            <w:hideMark/>
          </w:tcPr>
          <w:p w14:paraId="37CDFBB9"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20%</w:t>
            </w:r>
          </w:p>
        </w:tc>
        <w:tc>
          <w:tcPr>
            <w:tcW w:w="489"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743EBB3A"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50" w:type="dxa"/>
            <w:tcBorders>
              <w:top w:val="single" w:sz="4" w:space="0" w:color="auto"/>
              <w:left w:val="single" w:sz="4" w:space="0" w:color="auto"/>
              <w:bottom w:val="single" w:sz="4" w:space="0" w:color="auto"/>
              <w:right w:val="single" w:sz="4" w:space="0" w:color="auto"/>
            </w:tcBorders>
            <w:shd w:val="clear" w:color="000000" w:fill="FCEAED"/>
            <w:noWrap/>
            <w:vAlign w:val="bottom"/>
            <w:hideMark/>
          </w:tcPr>
          <w:p w14:paraId="25A183CD"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20%</w:t>
            </w:r>
          </w:p>
        </w:tc>
        <w:tc>
          <w:tcPr>
            <w:tcW w:w="404" w:type="dxa"/>
            <w:tcBorders>
              <w:top w:val="nil"/>
              <w:left w:val="nil"/>
              <w:bottom w:val="single" w:sz="4" w:space="0" w:color="auto"/>
              <w:right w:val="single" w:sz="4" w:space="0" w:color="auto"/>
            </w:tcBorders>
            <w:shd w:val="clear" w:color="auto" w:fill="auto"/>
            <w:noWrap/>
            <w:vAlign w:val="bottom"/>
            <w:hideMark/>
          </w:tcPr>
          <w:p w14:paraId="404A2052"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r>
      <w:tr w:rsidR="000F1C77" w:rsidRPr="004A2B9E" w14:paraId="7DF9F281" w14:textId="77777777" w:rsidTr="002A61D7">
        <w:trPr>
          <w:trHeight w:val="288"/>
        </w:trPr>
        <w:tc>
          <w:tcPr>
            <w:tcW w:w="1413" w:type="dxa"/>
            <w:vMerge/>
            <w:tcBorders>
              <w:top w:val="nil"/>
              <w:left w:val="single" w:sz="4" w:space="0" w:color="auto"/>
              <w:bottom w:val="single" w:sz="4" w:space="0" w:color="auto"/>
              <w:right w:val="single" w:sz="4" w:space="0" w:color="auto"/>
            </w:tcBorders>
            <w:vAlign w:val="center"/>
            <w:hideMark/>
          </w:tcPr>
          <w:p w14:paraId="4910F1E8"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p>
        </w:tc>
        <w:tc>
          <w:tcPr>
            <w:tcW w:w="2693" w:type="dxa"/>
            <w:tcBorders>
              <w:top w:val="nil"/>
              <w:left w:val="nil"/>
              <w:bottom w:val="single" w:sz="4" w:space="0" w:color="auto"/>
              <w:right w:val="single" w:sz="4" w:space="0" w:color="auto"/>
            </w:tcBorders>
            <w:shd w:val="clear" w:color="auto" w:fill="auto"/>
            <w:noWrap/>
            <w:vAlign w:val="bottom"/>
            <w:hideMark/>
          </w:tcPr>
          <w:p w14:paraId="2A1D249A" w14:textId="46CA2862"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Public Transport Operators stay technology takers</w:t>
            </w:r>
            <w:r w:rsidR="0025640C">
              <w:rPr>
                <w:color w:val="000000"/>
                <w:sz w:val="12"/>
                <w:szCs w:val="16"/>
                <w:lang w:val="en-GB" w:eastAsia="en-GB"/>
              </w:rPr>
              <w:t xml:space="preserve"> and not innovators</w:t>
            </w:r>
            <w:r w:rsidRPr="004A2B9E">
              <w:rPr>
                <w:color w:val="000000"/>
                <w:sz w:val="12"/>
                <w:szCs w:val="16"/>
                <w:lang w:val="en-GB" w:eastAsia="en-GB"/>
              </w:rPr>
              <w:t xml:space="preserve"> (Technological)</w:t>
            </w:r>
          </w:p>
        </w:tc>
        <w:tc>
          <w:tcPr>
            <w:tcW w:w="450" w:type="dxa"/>
            <w:tcBorders>
              <w:top w:val="single" w:sz="4" w:space="0" w:color="auto"/>
              <w:left w:val="single" w:sz="4" w:space="0" w:color="auto"/>
              <w:bottom w:val="single" w:sz="4" w:space="0" w:color="auto"/>
              <w:right w:val="single" w:sz="4" w:space="0" w:color="auto"/>
            </w:tcBorders>
            <w:shd w:val="clear" w:color="000000" w:fill="FAA1A3"/>
            <w:noWrap/>
            <w:vAlign w:val="bottom"/>
            <w:hideMark/>
          </w:tcPr>
          <w:p w14:paraId="3B12012F"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60%</w:t>
            </w:r>
          </w:p>
        </w:tc>
        <w:tc>
          <w:tcPr>
            <w:tcW w:w="450"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3CC44EBA"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50" w:type="dxa"/>
            <w:tcBorders>
              <w:top w:val="single" w:sz="4" w:space="0" w:color="auto"/>
              <w:left w:val="single" w:sz="4" w:space="0" w:color="auto"/>
              <w:bottom w:val="single" w:sz="4" w:space="0" w:color="auto"/>
              <w:right w:val="single" w:sz="4" w:space="0" w:color="auto"/>
            </w:tcBorders>
            <w:shd w:val="clear" w:color="000000" w:fill="FCEAED"/>
            <w:noWrap/>
            <w:vAlign w:val="bottom"/>
            <w:hideMark/>
          </w:tcPr>
          <w:p w14:paraId="520D0990"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20%</w:t>
            </w:r>
          </w:p>
        </w:tc>
        <w:tc>
          <w:tcPr>
            <w:tcW w:w="489" w:type="dxa"/>
            <w:tcBorders>
              <w:top w:val="nil"/>
              <w:left w:val="nil"/>
              <w:bottom w:val="single" w:sz="4" w:space="0" w:color="auto"/>
              <w:right w:val="single" w:sz="4" w:space="0" w:color="auto"/>
            </w:tcBorders>
            <w:shd w:val="clear" w:color="auto" w:fill="auto"/>
            <w:noWrap/>
            <w:vAlign w:val="bottom"/>
            <w:hideMark/>
          </w:tcPr>
          <w:p w14:paraId="5934CAE7"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nil"/>
              <w:left w:val="nil"/>
              <w:bottom w:val="single" w:sz="4" w:space="0" w:color="auto"/>
              <w:right w:val="single" w:sz="4" w:space="0" w:color="auto"/>
            </w:tcBorders>
            <w:shd w:val="clear" w:color="auto" w:fill="auto"/>
            <w:noWrap/>
            <w:vAlign w:val="bottom"/>
            <w:hideMark/>
          </w:tcPr>
          <w:p w14:paraId="5958E7D8"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04" w:type="dxa"/>
            <w:tcBorders>
              <w:top w:val="nil"/>
              <w:left w:val="nil"/>
              <w:bottom w:val="single" w:sz="4" w:space="0" w:color="auto"/>
              <w:right w:val="single" w:sz="4" w:space="0" w:color="auto"/>
            </w:tcBorders>
            <w:shd w:val="clear" w:color="auto" w:fill="auto"/>
            <w:noWrap/>
            <w:vAlign w:val="bottom"/>
            <w:hideMark/>
          </w:tcPr>
          <w:p w14:paraId="42C320D6"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r>
      <w:tr w:rsidR="000F1C77" w:rsidRPr="004A2B9E" w14:paraId="416525FA" w14:textId="77777777" w:rsidTr="002A61D7">
        <w:trPr>
          <w:trHeight w:val="288"/>
        </w:trPr>
        <w:tc>
          <w:tcPr>
            <w:tcW w:w="1413" w:type="dxa"/>
            <w:tcBorders>
              <w:top w:val="nil"/>
              <w:left w:val="nil"/>
              <w:bottom w:val="nil"/>
              <w:right w:val="nil"/>
            </w:tcBorders>
            <w:shd w:val="clear" w:color="auto" w:fill="auto"/>
            <w:noWrap/>
            <w:vAlign w:val="bottom"/>
            <w:hideMark/>
          </w:tcPr>
          <w:p w14:paraId="78D94D73"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14:paraId="437D2818" w14:textId="242BF3F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Current rate of progress - Not meeting Climate Targets (Environmental)</w:t>
            </w:r>
          </w:p>
        </w:tc>
        <w:tc>
          <w:tcPr>
            <w:tcW w:w="450" w:type="dxa"/>
            <w:tcBorders>
              <w:top w:val="nil"/>
              <w:left w:val="nil"/>
              <w:bottom w:val="single" w:sz="4" w:space="0" w:color="auto"/>
              <w:right w:val="single" w:sz="4" w:space="0" w:color="auto"/>
            </w:tcBorders>
            <w:shd w:val="clear" w:color="auto" w:fill="auto"/>
            <w:noWrap/>
            <w:vAlign w:val="bottom"/>
            <w:hideMark/>
          </w:tcPr>
          <w:p w14:paraId="3377E92D"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nil"/>
              <w:left w:val="nil"/>
              <w:bottom w:val="single" w:sz="4" w:space="0" w:color="auto"/>
              <w:right w:val="single" w:sz="4" w:space="0" w:color="auto"/>
            </w:tcBorders>
            <w:shd w:val="clear" w:color="auto" w:fill="auto"/>
            <w:noWrap/>
            <w:vAlign w:val="bottom"/>
            <w:hideMark/>
          </w:tcPr>
          <w:p w14:paraId="1A392FA1"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50" w:type="dxa"/>
            <w:tcBorders>
              <w:top w:val="nil"/>
              <w:left w:val="nil"/>
              <w:bottom w:val="single" w:sz="4" w:space="0" w:color="auto"/>
              <w:right w:val="single" w:sz="4" w:space="0" w:color="auto"/>
            </w:tcBorders>
            <w:shd w:val="clear" w:color="auto" w:fill="auto"/>
            <w:noWrap/>
            <w:vAlign w:val="bottom"/>
            <w:hideMark/>
          </w:tcPr>
          <w:p w14:paraId="1EE4E385"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c>
          <w:tcPr>
            <w:tcW w:w="489" w:type="dxa"/>
            <w:tcBorders>
              <w:top w:val="single" w:sz="4" w:space="0" w:color="auto"/>
              <w:left w:val="single" w:sz="4" w:space="0" w:color="auto"/>
              <w:bottom w:val="single" w:sz="4" w:space="0" w:color="auto"/>
              <w:right w:val="single" w:sz="4" w:space="0" w:color="auto"/>
            </w:tcBorders>
            <w:shd w:val="clear" w:color="000000" w:fill="FCFCFF"/>
            <w:noWrap/>
            <w:vAlign w:val="bottom"/>
            <w:hideMark/>
          </w:tcPr>
          <w:p w14:paraId="4DF9295A"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10%</w:t>
            </w:r>
          </w:p>
        </w:tc>
        <w:tc>
          <w:tcPr>
            <w:tcW w:w="45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6AB438D6" w14:textId="77777777" w:rsidR="000F1C77" w:rsidRPr="004A2B9E" w:rsidRDefault="000F1C77" w:rsidP="00F675EC">
            <w:pPr>
              <w:overflowPunct/>
              <w:autoSpaceDE/>
              <w:autoSpaceDN/>
              <w:adjustRightInd/>
              <w:spacing w:line="240" w:lineRule="auto"/>
              <w:ind w:firstLine="0"/>
              <w:jc w:val="right"/>
              <w:textAlignment w:val="auto"/>
              <w:rPr>
                <w:color w:val="000000"/>
                <w:sz w:val="12"/>
                <w:szCs w:val="16"/>
                <w:lang w:val="en-GB" w:eastAsia="en-GB"/>
              </w:rPr>
            </w:pPr>
            <w:r w:rsidRPr="004A2B9E">
              <w:rPr>
                <w:color w:val="000000"/>
                <w:sz w:val="12"/>
                <w:szCs w:val="16"/>
                <w:lang w:val="en-GB" w:eastAsia="en-GB"/>
              </w:rPr>
              <w:t>90%</w:t>
            </w:r>
          </w:p>
        </w:tc>
        <w:tc>
          <w:tcPr>
            <w:tcW w:w="404" w:type="dxa"/>
            <w:tcBorders>
              <w:top w:val="nil"/>
              <w:left w:val="nil"/>
              <w:bottom w:val="single" w:sz="4" w:space="0" w:color="auto"/>
              <w:right w:val="single" w:sz="4" w:space="0" w:color="auto"/>
            </w:tcBorders>
            <w:shd w:val="clear" w:color="auto" w:fill="auto"/>
            <w:noWrap/>
            <w:vAlign w:val="bottom"/>
            <w:hideMark/>
          </w:tcPr>
          <w:p w14:paraId="1EF54D19" w14:textId="77777777" w:rsidR="000F1C77" w:rsidRPr="004A2B9E" w:rsidRDefault="000F1C77" w:rsidP="00F675EC">
            <w:pPr>
              <w:overflowPunct/>
              <w:autoSpaceDE/>
              <w:autoSpaceDN/>
              <w:adjustRightInd/>
              <w:spacing w:line="240" w:lineRule="auto"/>
              <w:ind w:firstLine="0"/>
              <w:jc w:val="left"/>
              <w:textAlignment w:val="auto"/>
              <w:rPr>
                <w:color w:val="000000"/>
                <w:sz w:val="12"/>
                <w:szCs w:val="16"/>
                <w:lang w:val="en-GB" w:eastAsia="en-GB"/>
              </w:rPr>
            </w:pPr>
            <w:r w:rsidRPr="004A2B9E">
              <w:rPr>
                <w:color w:val="000000"/>
                <w:sz w:val="12"/>
                <w:szCs w:val="16"/>
                <w:lang w:val="en-GB" w:eastAsia="en-GB"/>
              </w:rPr>
              <w:t> </w:t>
            </w:r>
          </w:p>
        </w:tc>
      </w:tr>
    </w:tbl>
    <w:p w14:paraId="157EF257" w14:textId="77777777" w:rsidR="00F675EC" w:rsidRDefault="00F675EC" w:rsidP="00774C65">
      <w:pPr>
        <w:ind w:firstLine="0"/>
      </w:pPr>
    </w:p>
    <w:p w14:paraId="7F47BE75" w14:textId="6D24E471" w:rsidR="00585DEB" w:rsidRDefault="00CA34F6" w:rsidP="00774C65">
      <w:pPr>
        <w:ind w:firstLine="0"/>
      </w:pPr>
      <w:r>
        <w:tab/>
      </w:r>
      <w:r w:rsidR="00B62ADA">
        <w:t xml:space="preserve">The collective </w:t>
      </w:r>
      <w:r w:rsidR="00AE4FBC">
        <w:t>judgement identifies</w:t>
      </w:r>
      <w:r w:rsidR="00FC5B7B">
        <w:t xml:space="preserve"> NIMBYism and the current Housing Crisis </w:t>
      </w:r>
      <w:r w:rsidR="00B62ADA">
        <w:t>as</w:t>
      </w:r>
      <w:r w:rsidR="00FC5B7B">
        <w:t xml:space="preserve"> significant threat</w:t>
      </w:r>
      <w:r w:rsidR="00B62ADA">
        <w:t>s</w:t>
      </w:r>
      <w:r w:rsidR="00FC5B7B">
        <w:t xml:space="preserve"> to the transformation to sustainable mobility. </w:t>
      </w:r>
      <w:r w:rsidR="0025640C">
        <w:t>Other</w:t>
      </w:r>
      <w:r w:rsidR="00F675EC">
        <w:t xml:space="preserve"> two determinants worth to observe </w:t>
      </w:r>
      <w:r w:rsidR="00585DEB">
        <w:t>are</w:t>
      </w:r>
      <w:r w:rsidR="00F675EC">
        <w:t xml:space="preserve"> the planning system and </w:t>
      </w:r>
      <w:r w:rsidR="0025640C">
        <w:t xml:space="preserve">the </w:t>
      </w:r>
      <w:r w:rsidR="00F675EC">
        <w:t xml:space="preserve">technological </w:t>
      </w:r>
      <w:r w:rsidR="00585DEB">
        <w:t>capabilities</w:t>
      </w:r>
      <w:r w:rsidR="00F675EC">
        <w:t xml:space="preserve"> of the </w:t>
      </w:r>
      <w:r w:rsidR="00585DEB">
        <w:t>PT</w:t>
      </w:r>
      <w:r w:rsidR="00F675EC">
        <w:t xml:space="preserve"> operators.</w:t>
      </w:r>
      <w:r w:rsidR="0025640C">
        <w:t xml:space="preserve"> I</w:t>
      </w:r>
      <w:r w:rsidR="00F675EC">
        <w:t>n the view of most respondents A</w:t>
      </w:r>
      <w:r w:rsidR="00F675EC" w:rsidRPr="002062D0">
        <w:t>n Bord Pleanála</w:t>
      </w:r>
      <w:r w:rsidR="0025640C">
        <w:t>’s</w:t>
      </w:r>
      <w:r w:rsidR="00F675EC" w:rsidRPr="002062D0">
        <w:t xml:space="preserve"> </w:t>
      </w:r>
      <w:r w:rsidR="00F675EC" w:rsidRPr="00F675EC">
        <w:t>underperformance a</w:t>
      </w:r>
      <w:r w:rsidR="00F675EC">
        <w:t xml:space="preserve">nd the </w:t>
      </w:r>
      <w:r w:rsidR="0025640C">
        <w:t>increase</w:t>
      </w:r>
      <w:r w:rsidR="00F675EC">
        <w:t xml:space="preserve"> </w:t>
      </w:r>
      <w:r w:rsidR="00F326FC">
        <w:t>of judicial</w:t>
      </w:r>
      <w:r w:rsidR="00F675EC">
        <w:t xml:space="preserve"> reviews</w:t>
      </w:r>
      <w:r w:rsidR="00F675EC" w:rsidRPr="00F675EC">
        <w:t xml:space="preserve"> </w:t>
      </w:r>
      <w:r w:rsidR="00F675EC">
        <w:t xml:space="preserve">pose a significant risk to the transformation to sustainable mobility. </w:t>
      </w:r>
      <w:r w:rsidR="0025640C">
        <w:t>T</w:t>
      </w:r>
      <w:r w:rsidR="00585DEB">
        <w:t xml:space="preserve">he implication </w:t>
      </w:r>
      <w:r w:rsidR="0025640C">
        <w:t xml:space="preserve">of PT operators being technology takers without innovative </w:t>
      </w:r>
      <w:r w:rsidR="00AD15B8">
        <w:t>capacity</w:t>
      </w:r>
      <w:r w:rsidR="0025640C">
        <w:t xml:space="preserve"> </w:t>
      </w:r>
      <w:r w:rsidR="00585DEB">
        <w:t xml:space="preserve">is </w:t>
      </w:r>
      <w:r w:rsidR="00AD15B8">
        <w:t xml:space="preserve">that it undermines </w:t>
      </w:r>
      <w:r w:rsidR="00585DEB">
        <w:t xml:space="preserve">the ambition </w:t>
      </w:r>
      <w:r w:rsidR="00AD15B8">
        <w:t xml:space="preserve">of Ireland </w:t>
      </w:r>
      <w:r w:rsidR="00585DEB">
        <w:t xml:space="preserve">to become a global leader in public transport provision and sustainable mobility. For the rest of determinants under investigation the results are inconclusive as </w:t>
      </w:r>
      <w:r w:rsidR="00AD15B8">
        <w:t>no consensus was detected</w:t>
      </w:r>
      <w:r w:rsidR="00585DEB">
        <w:t>.</w:t>
      </w:r>
    </w:p>
    <w:p w14:paraId="769B4352" w14:textId="500C0DAB" w:rsidR="00774C65" w:rsidRDefault="00585DEB" w:rsidP="003807DB">
      <w:pPr>
        <w:ind w:firstLine="0"/>
      </w:pPr>
      <w:r>
        <w:tab/>
      </w:r>
      <w:r w:rsidR="003439BA">
        <w:t>In terms of the</w:t>
      </w:r>
      <w:r>
        <w:t xml:space="preserve"> </w:t>
      </w:r>
      <w:r w:rsidR="00331755">
        <w:t>programmatic approach</w:t>
      </w:r>
      <w:r>
        <w:t>,</w:t>
      </w:r>
      <w:r w:rsidR="00331755">
        <w:t xml:space="preserve"> the majority of</w:t>
      </w:r>
      <w:r>
        <w:t xml:space="preserve"> </w:t>
      </w:r>
      <w:r w:rsidR="00331755">
        <w:t>respondents</w:t>
      </w:r>
      <w:r>
        <w:t xml:space="preserve"> </w:t>
      </w:r>
      <w:r w:rsidR="00331755">
        <w:t xml:space="preserve">(60%) stated that a programme level would facilitate a swiftly </w:t>
      </w:r>
      <w:r w:rsidR="00B81F39">
        <w:t>IG</w:t>
      </w:r>
      <w:r w:rsidR="00331755">
        <w:t xml:space="preserve"> approval process rather than at a project level. However, there are nuances to this consideration.</w:t>
      </w:r>
      <w:r w:rsidR="00823C58">
        <w:t xml:space="preserve"> </w:t>
      </w:r>
      <w:r w:rsidR="00823C58" w:rsidRPr="00823C58">
        <w:t xml:space="preserve">The 'right' level needs </w:t>
      </w:r>
      <w:r w:rsidR="00823C58" w:rsidRPr="00823C58">
        <w:lastRenderedPageBreak/>
        <w:t xml:space="preserve">to be considered for the various projects in question and a decision made as to where their value </w:t>
      </w:r>
      <w:r w:rsidR="00823C58">
        <w:t xml:space="preserve">is </w:t>
      </w:r>
      <w:r w:rsidR="00823C58" w:rsidRPr="00823C58">
        <w:t xml:space="preserve">in aggregating them into a programme. </w:t>
      </w:r>
      <w:r w:rsidR="00331755">
        <w:t xml:space="preserve">As </w:t>
      </w:r>
      <w:r w:rsidR="003439BA">
        <w:t>a</w:t>
      </w:r>
      <w:r w:rsidR="00823C58">
        <w:t xml:space="preserve"> </w:t>
      </w:r>
      <w:r w:rsidR="00331755">
        <w:t>respondent stated: “</w:t>
      </w:r>
      <w:r w:rsidR="00331755" w:rsidRPr="00331755">
        <w:rPr>
          <w:i/>
        </w:rPr>
        <w:t xml:space="preserve">Some projects may be able to proceed perfectly well at a project level. However, focusing on project level misses the big picture (transport strategies need to be combinations of numerous projects and incentives. Some of these may not have a good BCR </w:t>
      </w:r>
      <w:r w:rsidR="00823C58" w:rsidRPr="00823C58">
        <w:t>[Benefit Cost Ratio]</w:t>
      </w:r>
      <w:r w:rsidR="00823C58">
        <w:rPr>
          <w:i/>
        </w:rPr>
        <w:t xml:space="preserve"> </w:t>
      </w:r>
      <w:r w:rsidR="00331755" w:rsidRPr="00331755">
        <w:rPr>
          <w:i/>
        </w:rPr>
        <w:t>at a project level, however it is the programme/ strategy level that is important). If individual projects are rejected for poor economic performance then this puts the entire strategy at risk</w:t>
      </w:r>
      <w:r w:rsidR="00331755" w:rsidRPr="00331755">
        <w:t>.</w:t>
      </w:r>
      <w:r w:rsidR="00331755">
        <w:t xml:space="preserve">” </w:t>
      </w:r>
      <w:r>
        <w:t xml:space="preserve"> </w:t>
      </w:r>
      <w:r w:rsidR="00BB7645">
        <w:t>Another</w:t>
      </w:r>
      <w:r w:rsidR="00823C58">
        <w:t xml:space="preserve"> respondent </w:t>
      </w:r>
      <w:r w:rsidR="00BB7645">
        <w:t xml:space="preserve">was </w:t>
      </w:r>
      <w:r w:rsidR="00751B28">
        <w:t xml:space="preserve">more </w:t>
      </w:r>
      <w:r w:rsidR="00BB7645">
        <w:t xml:space="preserve">audacious and </w:t>
      </w:r>
      <w:r w:rsidR="00823C58">
        <w:t xml:space="preserve">hinted to the </w:t>
      </w:r>
      <w:r w:rsidR="00823C58" w:rsidRPr="00823C58">
        <w:t xml:space="preserve">need </w:t>
      </w:r>
      <w:r w:rsidR="00823C58">
        <w:t xml:space="preserve">of </w:t>
      </w:r>
      <w:r w:rsidR="00823C58" w:rsidRPr="00823C58">
        <w:t>a transpo</w:t>
      </w:r>
      <w:r w:rsidR="00BB7645">
        <w:t>rt programme for climate change</w:t>
      </w:r>
      <w:r w:rsidR="00823C58">
        <w:t xml:space="preserve"> in order to achieve t</w:t>
      </w:r>
      <w:r w:rsidR="00823C58" w:rsidRPr="00823C58">
        <w:t xml:space="preserve">ransformation at national level rather than </w:t>
      </w:r>
      <w:r w:rsidR="00BB7645">
        <w:t xml:space="preserve">with incremental projects. </w:t>
      </w:r>
      <w:r w:rsidR="003807DB">
        <w:t xml:space="preserve">The collective </w:t>
      </w:r>
      <w:r w:rsidR="00AE4FBC">
        <w:t>opinion</w:t>
      </w:r>
      <w:r w:rsidR="003807DB">
        <w:t xml:space="preserve"> is that at the current rate of progress, it is unlikely that </w:t>
      </w:r>
      <w:r w:rsidR="003807DB" w:rsidRPr="003807DB">
        <w:t>climate targets</w:t>
      </w:r>
      <w:r w:rsidR="003807DB">
        <w:t xml:space="preserve"> </w:t>
      </w:r>
      <w:r w:rsidR="00BB7645">
        <w:t>will be</w:t>
      </w:r>
      <w:r w:rsidR="003807DB">
        <w:t xml:space="preserve"> met. Therefore, more and better needs to be done.</w:t>
      </w:r>
    </w:p>
    <w:p w14:paraId="0678507E" w14:textId="5FD0146C" w:rsidR="00774C65" w:rsidRDefault="00774C65" w:rsidP="00774C65">
      <w:pPr>
        <w:pStyle w:val="heading1"/>
      </w:pPr>
      <w:r>
        <w:t xml:space="preserve">Conclusions </w:t>
      </w:r>
    </w:p>
    <w:p w14:paraId="54852E16" w14:textId="16FF773B" w:rsidR="000E4989" w:rsidRDefault="000E4989" w:rsidP="00774C65">
      <w:pPr>
        <w:ind w:firstLine="0"/>
      </w:pPr>
      <w:r>
        <w:t xml:space="preserve">This paper contributes to the literature </w:t>
      </w:r>
      <w:r w:rsidR="002164C0">
        <w:t xml:space="preserve">of transport economics </w:t>
      </w:r>
      <w:r>
        <w:t xml:space="preserve">by using </w:t>
      </w:r>
      <w:r w:rsidR="003807DB">
        <w:t xml:space="preserve">a PESTEL analysis adapted to the differing </w:t>
      </w:r>
      <w:r w:rsidR="002164C0">
        <w:t>timeframes</w:t>
      </w:r>
      <w:r w:rsidR="003807DB">
        <w:t xml:space="preserve"> in the economics of institutions </w:t>
      </w:r>
      <w:r w:rsidR="002164C0">
        <w:t>to assess the likelihood of</w:t>
      </w:r>
      <w:r w:rsidR="003807DB">
        <w:t xml:space="preserve"> </w:t>
      </w:r>
      <w:r>
        <w:t xml:space="preserve">determinants </w:t>
      </w:r>
      <w:r w:rsidR="002164C0">
        <w:t>affecting the</w:t>
      </w:r>
      <w:r>
        <w:t xml:space="preserve"> </w:t>
      </w:r>
      <w:r w:rsidR="002164C0">
        <w:t xml:space="preserve">speed of </w:t>
      </w:r>
      <w:r>
        <w:t>transformation to sustainable mobility.</w:t>
      </w:r>
    </w:p>
    <w:p w14:paraId="7D219807" w14:textId="160616C5" w:rsidR="002164C0" w:rsidRDefault="002164C0" w:rsidP="002164C0">
      <w:pPr>
        <w:spacing w:line="240" w:lineRule="auto"/>
        <w:rPr>
          <w:sz w:val="24"/>
          <w:szCs w:val="24"/>
          <w:lang w:val="en-GB" w:eastAsia="en-GB"/>
        </w:rPr>
      </w:pPr>
      <w:r>
        <w:t xml:space="preserve">The results </w:t>
      </w:r>
      <w:r w:rsidR="00A72A6C">
        <w:t>point</w:t>
      </w:r>
      <w:r>
        <w:t xml:space="preserve"> to </w:t>
      </w:r>
      <w:r w:rsidR="00A72A6C">
        <w:t xml:space="preserve">a high degree of experts’ agreement on the likelihood of </w:t>
      </w:r>
      <w:r>
        <w:t>clear threats to the transformation to sustainable mobility in Ireland: NIMBYism, Housing Crisis, the planning legal system underperformance, and the poor technological</w:t>
      </w:r>
      <w:r w:rsidR="00A72A6C">
        <w:t xml:space="preserve"> capabilities of PT operators. </w:t>
      </w:r>
      <w:r>
        <w:t xml:space="preserve">There </w:t>
      </w:r>
      <w:r w:rsidR="00F32436">
        <w:t>recently published Infrastructure Guidelines seem an</w:t>
      </w:r>
      <w:r>
        <w:t xml:space="preserve"> improve</w:t>
      </w:r>
      <w:r w:rsidR="00F32436">
        <w:t>ment of</w:t>
      </w:r>
      <w:r>
        <w:t xml:space="preserve"> the programmatic approach </w:t>
      </w:r>
      <w:r w:rsidR="00F32436">
        <w:t>in the right direction</w:t>
      </w:r>
      <w:r>
        <w:t xml:space="preserve">.  Overall, the literature on the technical management and appraisal aspects of Irish public capital investments and projects remains limited. Noting this, there are widespread opportunities to explore potential improvements. </w:t>
      </w:r>
    </w:p>
    <w:p w14:paraId="501A5038" w14:textId="47341F3E" w:rsidR="00774C65" w:rsidRDefault="00086C8F" w:rsidP="00ED29C4">
      <w:r>
        <w:t>Future research avenues emerge. Without diminishing the validity of the results presented in this paper, th</w:t>
      </w:r>
      <w:r w:rsidR="00A72A6C">
        <w:t>ere is an opportunity to apply the survey to</w:t>
      </w:r>
      <w:r>
        <w:t xml:space="preserve"> a wider range of stakeholders, such as politicians, private sector, PT operators, and civil society. There is also the possibility to delve into cultural norms </w:t>
      </w:r>
      <w:r w:rsidR="003807DB" w:rsidRPr="003807DB">
        <w:t>and how long these take to change</w:t>
      </w:r>
      <w:r>
        <w:t>. C</w:t>
      </w:r>
      <w:r w:rsidR="003807DB" w:rsidRPr="003807DB">
        <w:t>ultural norms around driving, speed limits, driving in rural areas, cycling, status of car ownership, perceptions of use of public transport. There are a lot of cultural norms that need to be unpicked for the transformational change.</w:t>
      </w:r>
    </w:p>
    <w:p w14:paraId="090D04D6" w14:textId="77777777" w:rsidR="00F5587E" w:rsidRDefault="009B2539" w:rsidP="00F5587E">
      <w:pPr>
        <w:pStyle w:val="heading1"/>
        <w:numPr>
          <w:ilvl w:val="0"/>
          <w:numId w:val="0"/>
        </w:numPr>
        <w:ind w:left="567" w:hanging="567"/>
      </w:pPr>
      <w:r>
        <w:t>References</w:t>
      </w:r>
    </w:p>
    <w:p w14:paraId="36D3D831" w14:textId="7F0A60D6" w:rsidR="00183EC5" w:rsidRDefault="00183EC5" w:rsidP="00F5587E">
      <w:pPr>
        <w:pStyle w:val="referenceitem"/>
      </w:pPr>
      <w:r>
        <w:t xml:space="preserve">OECD Strengthening Environmental Considerations in Public Investment in Ireland: Assessment and recommendations. </w:t>
      </w:r>
      <w:hyperlink r:id="rId12" w:history="1">
        <w:r w:rsidRPr="00035DE5">
          <w:rPr>
            <w:rStyle w:val="Hyperlink"/>
          </w:rPr>
          <w:t>https://www.oecd-ilibrary.org/docserver/83b97aca-en.pdf?expires=1695834081&amp;id=id&amp;accname=guest&amp;checksum=05D101D7E695456D559870538060126C</w:t>
        </w:r>
      </w:hyperlink>
      <w:r>
        <w:t xml:space="preserve"> last accessed 2023/10/06.</w:t>
      </w:r>
    </w:p>
    <w:p w14:paraId="4AAA6895" w14:textId="573195FE" w:rsidR="00183EC5" w:rsidRDefault="00183EC5" w:rsidP="00183EC5">
      <w:pPr>
        <w:pStyle w:val="referenceitem"/>
      </w:pPr>
      <w:r>
        <w:t xml:space="preserve">Connolly, M. and Newman, F. The Public Spending Code: Planning, Appraising and Managing Capital Investment Programmes – </w:t>
      </w:r>
      <w:r w:rsidRPr="00183EC5">
        <w:t>Irish Government Economic and Evaluation Service (IGEES)</w:t>
      </w:r>
      <w:r>
        <w:t xml:space="preserve"> 2022 </w:t>
      </w:r>
      <w:hyperlink r:id="rId13" w:history="1">
        <w:r w:rsidRPr="00035DE5">
          <w:rPr>
            <w:rStyle w:val="Hyperlink"/>
          </w:rPr>
          <w:t>https://assets.gov.ie/242770/19cd0477-6efd-478f-b678-ba6dd133cbdf.pdf</w:t>
        </w:r>
      </w:hyperlink>
      <w:r>
        <w:t xml:space="preserve"> last accessed 2023/10/06.</w:t>
      </w:r>
    </w:p>
    <w:p w14:paraId="3AF6CF84" w14:textId="64DDB871" w:rsidR="00183EC5" w:rsidRDefault="005045F3" w:rsidP="003268E5">
      <w:pPr>
        <w:pStyle w:val="referenceitem"/>
      </w:pPr>
      <w:r w:rsidRPr="005045F3">
        <w:lastRenderedPageBreak/>
        <w:t>Peterson St-Laurent, G., Oakes, L. E., Cross, M., &amp; Hagerman, S. (2021). R–R–T (resistance–resilience–transformation) typology reveals differential conservation approaches across ecosystems and time. Communications biology, 4(1), 39.</w:t>
      </w:r>
    </w:p>
    <w:p w14:paraId="1BDB030A" w14:textId="77777777" w:rsidR="0047456F" w:rsidRDefault="0047456F" w:rsidP="0047456F">
      <w:pPr>
        <w:pStyle w:val="referenceitem"/>
      </w:pPr>
      <w:r w:rsidRPr="0047456F">
        <w:t xml:space="preserve">Williamson, O. E. (1998). The institutions of governance. The American economic review, 88(2), 75-79. </w:t>
      </w:r>
    </w:p>
    <w:p w14:paraId="00712458" w14:textId="0EB04886" w:rsidR="005045F3" w:rsidRDefault="00550561" w:rsidP="0047456F">
      <w:pPr>
        <w:pStyle w:val="referenceitem"/>
      </w:pPr>
      <w:r>
        <w:t xml:space="preserve">New Children’s Hospital Independent Review of Escalation in Costs – PWC, 2019 </w:t>
      </w:r>
      <w:hyperlink r:id="rId14" w:history="1">
        <w:r w:rsidRPr="00035DE5">
          <w:rPr>
            <w:rStyle w:val="Hyperlink"/>
          </w:rPr>
          <w:t>https://merrionstreet.ie/merrionstreet/en/news-room/releases/20190409_nch_report.pdf</w:t>
        </w:r>
      </w:hyperlink>
      <w:r>
        <w:t xml:space="preserve"> last accessed 2023/10/06.</w:t>
      </w:r>
    </w:p>
    <w:p w14:paraId="65F9F988" w14:textId="5409846A" w:rsidR="005045F3" w:rsidRDefault="00443407" w:rsidP="00443407">
      <w:pPr>
        <w:pStyle w:val="referenceitem"/>
      </w:pPr>
      <w:r>
        <w:t xml:space="preserve">Irish Times </w:t>
      </w:r>
      <w:hyperlink r:id="rId15" w:history="1">
        <w:r w:rsidRPr="00035DE5">
          <w:rPr>
            <w:rStyle w:val="Hyperlink"/>
          </w:rPr>
          <w:t>https://www.irishtimes.com/opinion/editorials/2023/07/07/the-irish-times-view-on-reform-of-an-bord-pleanala-a-vital-task/</w:t>
        </w:r>
      </w:hyperlink>
      <w:r>
        <w:t xml:space="preserve"> last accessed 2023/10/06.</w:t>
      </w:r>
    </w:p>
    <w:sectPr w:rsidR="005045F3" w:rsidSect="009F7FCE">
      <w:headerReference w:type="even" r:id="rId16"/>
      <w:headerReference w:type="default" r:id="rId17"/>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AD56A" w14:textId="77777777" w:rsidR="004E38C7" w:rsidRDefault="004E38C7">
      <w:r>
        <w:separator/>
      </w:r>
    </w:p>
  </w:endnote>
  <w:endnote w:type="continuationSeparator" w:id="0">
    <w:p w14:paraId="4ADF0C38" w14:textId="77777777" w:rsidR="004E38C7" w:rsidRDefault="004E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5203A" w14:textId="77777777" w:rsidR="004E38C7" w:rsidRDefault="004E38C7" w:rsidP="009F7FCE">
      <w:pPr>
        <w:ind w:firstLine="0"/>
      </w:pPr>
      <w:r>
        <w:separator/>
      </w:r>
    </w:p>
  </w:footnote>
  <w:footnote w:type="continuationSeparator" w:id="0">
    <w:p w14:paraId="287599E8" w14:textId="77777777" w:rsidR="004E38C7" w:rsidRDefault="004E38C7" w:rsidP="009F7FCE">
      <w:pPr>
        <w:ind w:firstLine="0"/>
      </w:pPr>
      <w:r>
        <w:continuationSeparator/>
      </w:r>
    </w:p>
  </w:footnote>
  <w:footnote w:id="1">
    <w:p w14:paraId="1EB730C7" w14:textId="77777777" w:rsidR="00387C49" w:rsidRDefault="00387C49" w:rsidP="009D77CB">
      <w:pPr>
        <w:pStyle w:val="footnote"/>
        <w:ind w:firstLine="120"/>
      </w:pPr>
      <w:r>
        <w:t>* Corresponding author. Tel.: +353 (01) 881 5680</w:t>
      </w:r>
    </w:p>
    <w:p w14:paraId="74D6FB9C" w14:textId="77777777" w:rsidR="00387C49" w:rsidRDefault="00387C49" w:rsidP="009D77CB">
      <w:pPr>
        <w:pStyle w:val="footnote"/>
        <w:ind w:firstLine="240"/>
      </w:pPr>
      <w:r>
        <w:rPr>
          <w:i/>
          <w:iCs/>
        </w:rPr>
        <w:t>E-mail address:</w:t>
      </w:r>
      <w:r>
        <w:t xml:space="preserve"> juan.martinez@nationaltransport.ie</w:t>
      </w:r>
    </w:p>
  </w:footnote>
  <w:footnote w:id="2">
    <w:p w14:paraId="3CC1A843" w14:textId="6B92AF1E" w:rsidR="00F32436" w:rsidRPr="00F32436" w:rsidRDefault="00F32436" w:rsidP="00F32436">
      <w:pPr>
        <w:pStyle w:val="FootnoteText"/>
        <w:rPr>
          <w:lang w:val="en-GB"/>
        </w:rPr>
      </w:pPr>
      <w:r>
        <w:rPr>
          <w:rStyle w:val="FootnoteReference"/>
        </w:rPr>
        <w:footnoteRef/>
      </w:r>
      <w:r>
        <w:t xml:space="preserve"> </w:t>
      </w:r>
      <w:r>
        <w:rPr>
          <w:lang w:val="en-GB"/>
        </w:rPr>
        <w:t>At the time of the survey application</w:t>
      </w:r>
      <w:r w:rsidR="00B81F39">
        <w:rPr>
          <w:lang w:val="en-GB"/>
        </w:rPr>
        <w:t xml:space="preserve"> in October 2023</w:t>
      </w:r>
      <w:r>
        <w:rPr>
          <w:lang w:val="en-GB"/>
        </w:rPr>
        <w:t xml:space="preserve">, the Public Spending Code was the </w:t>
      </w:r>
      <w:r w:rsidR="00B81F39">
        <w:rPr>
          <w:lang w:val="en-GB"/>
        </w:rPr>
        <w:t>current referent.</w:t>
      </w:r>
      <w:r>
        <w:rPr>
          <w:lang w:val="en-GB"/>
        </w:rPr>
        <w:t xml:space="preserve"> </w:t>
      </w:r>
      <w:r w:rsidR="00B81F39">
        <w:rPr>
          <w:lang w:val="en-GB"/>
        </w:rPr>
        <w:t>The Infrastructure Guidelines were published in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A38B0" w14:textId="4E45B85B" w:rsidR="00387C49" w:rsidRDefault="00387C49" w:rsidP="00F321B4">
    <w:pPr>
      <w:pStyle w:val="Header"/>
    </w:pPr>
    <w:r>
      <w:fldChar w:fldCharType="begin"/>
    </w:r>
    <w:r>
      <w:instrText>PAGE   \* MERGEFORMAT</w:instrText>
    </w:r>
    <w:r>
      <w:fldChar w:fldCharType="separate"/>
    </w:r>
    <w:r w:rsidR="00BE522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71C17" w14:textId="31AD03DF" w:rsidR="00387C49" w:rsidRDefault="00387C49" w:rsidP="002D48C5">
    <w:pPr>
      <w:pStyle w:val="Header"/>
      <w:jc w:val="right"/>
    </w:pPr>
    <w:r>
      <w:fldChar w:fldCharType="begin"/>
    </w:r>
    <w:r>
      <w:instrText>PAGE   \* MERGEFORMAT</w:instrText>
    </w:r>
    <w:r>
      <w:fldChar w:fldCharType="separate"/>
    </w:r>
    <w:r w:rsidR="00BE5223">
      <w:rPr>
        <w:noProof/>
      </w:rPr>
      <w:t>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725A"/>
    <w:multiLevelType w:val="hybridMultilevel"/>
    <w:tmpl w:val="9390903C"/>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 w15:restartNumberingAfterBreak="0">
    <w:nsid w:val="1D171F6E"/>
    <w:multiLevelType w:val="hybridMultilevel"/>
    <w:tmpl w:val="1540B80C"/>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2"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3" w15:restartNumberingAfterBreak="0">
    <w:nsid w:val="259D37BE"/>
    <w:multiLevelType w:val="hybridMultilevel"/>
    <w:tmpl w:val="9B0479D4"/>
    <w:lvl w:ilvl="0" w:tplc="1EA4F0B2">
      <w:start w:val="1"/>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4" w15:restartNumberingAfterBreak="0">
    <w:nsid w:val="3CCB7281"/>
    <w:multiLevelType w:val="hybridMultilevel"/>
    <w:tmpl w:val="B4CA37A2"/>
    <w:lvl w:ilvl="0" w:tplc="47A4AB0E">
      <w:numFmt w:val="bullet"/>
      <w:lvlText w:val="-"/>
      <w:lvlJc w:val="left"/>
      <w:pPr>
        <w:ind w:left="587" w:hanging="360"/>
      </w:pPr>
      <w:rPr>
        <w:rFonts w:ascii="Times New Roman" w:eastAsia="Times New Roman" w:hAnsi="Times New Roman" w:cs="Times New Roman"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5" w15:restartNumberingAfterBreak="0">
    <w:nsid w:val="557D5205"/>
    <w:multiLevelType w:val="hybridMultilevel"/>
    <w:tmpl w:val="32845392"/>
    <w:lvl w:ilvl="0" w:tplc="00E00318">
      <w:numFmt w:val="bullet"/>
      <w:lvlText w:val="-"/>
      <w:lvlJc w:val="left"/>
      <w:pPr>
        <w:ind w:left="587" w:hanging="360"/>
      </w:pPr>
      <w:rPr>
        <w:rFonts w:ascii="Times New Roman" w:eastAsia="Times New Roman" w:hAnsi="Times New Roman" w:cs="Times New Roman"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6"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7"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10" w15:restartNumberingAfterBreak="0">
    <w:nsid w:val="7F6C2CE8"/>
    <w:multiLevelType w:val="hybridMultilevel"/>
    <w:tmpl w:val="16B460A8"/>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num w:numId="1">
    <w:abstractNumId w:val="2"/>
  </w:num>
  <w:num w:numId="2">
    <w:abstractNumId w:val="2"/>
  </w:num>
  <w:num w:numId="3">
    <w:abstractNumId w:val="6"/>
  </w:num>
  <w:num w:numId="4">
    <w:abstractNumId w:val="6"/>
  </w:num>
  <w:num w:numId="5">
    <w:abstractNumId w:val="8"/>
  </w:num>
  <w:num w:numId="6">
    <w:abstractNumId w:val="8"/>
  </w:num>
  <w:num w:numId="7">
    <w:abstractNumId w:val="7"/>
  </w:num>
  <w:num w:numId="8">
    <w:abstractNumId w:val="9"/>
  </w:num>
  <w:num w:numId="9">
    <w:abstractNumId w:val="9"/>
  </w:num>
  <w:num w:numId="10">
    <w:abstractNumId w:val="5"/>
  </w:num>
  <w:num w:numId="11">
    <w:abstractNumId w:val="4"/>
  </w:num>
  <w:num w:numId="12">
    <w:abstractNumId w:val="1"/>
  </w:num>
  <w:num w:numId="13">
    <w:abstractNumId w:val="0"/>
  </w:num>
  <w:num w:numId="14">
    <w:abstractNumId w:val="10"/>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CE"/>
    <w:rsid w:val="000077DA"/>
    <w:rsid w:val="00012E9B"/>
    <w:rsid w:val="00036501"/>
    <w:rsid w:val="00042D27"/>
    <w:rsid w:val="00061B47"/>
    <w:rsid w:val="0006619F"/>
    <w:rsid w:val="00086C8F"/>
    <w:rsid w:val="00087542"/>
    <w:rsid w:val="000A55B4"/>
    <w:rsid w:val="000C1339"/>
    <w:rsid w:val="000E4989"/>
    <w:rsid w:val="000E555F"/>
    <w:rsid w:val="000F1C77"/>
    <w:rsid w:val="001079C9"/>
    <w:rsid w:val="00112F61"/>
    <w:rsid w:val="001253A4"/>
    <w:rsid w:val="00161F8A"/>
    <w:rsid w:val="00183EC5"/>
    <w:rsid w:val="00196AA3"/>
    <w:rsid w:val="001A02F0"/>
    <w:rsid w:val="001C2744"/>
    <w:rsid w:val="001C71EB"/>
    <w:rsid w:val="001D2247"/>
    <w:rsid w:val="001D5C6F"/>
    <w:rsid w:val="002062D0"/>
    <w:rsid w:val="002164C0"/>
    <w:rsid w:val="0025640C"/>
    <w:rsid w:val="002A61D7"/>
    <w:rsid w:val="002B1A80"/>
    <w:rsid w:val="002B4E61"/>
    <w:rsid w:val="002C2576"/>
    <w:rsid w:val="002D08DC"/>
    <w:rsid w:val="002D2368"/>
    <w:rsid w:val="002D48C5"/>
    <w:rsid w:val="002E26BC"/>
    <w:rsid w:val="002F06EE"/>
    <w:rsid w:val="003110FF"/>
    <w:rsid w:val="0032041D"/>
    <w:rsid w:val="00321526"/>
    <w:rsid w:val="00331755"/>
    <w:rsid w:val="003439BA"/>
    <w:rsid w:val="003540FC"/>
    <w:rsid w:val="003648F2"/>
    <w:rsid w:val="00365B56"/>
    <w:rsid w:val="003807DB"/>
    <w:rsid w:val="00387C49"/>
    <w:rsid w:val="003C4AC6"/>
    <w:rsid w:val="003E5924"/>
    <w:rsid w:val="00415109"/>
    <w:rsid w:val="00427BE5"/>
    <w:rsid w:val="00433B09"/>
    <w:rsid w:val="00443407"/>
    <w:rsid w:val="004434BB"/>
    <w:rsid w:val="00447386"/>
    <w:rsid w:val="0047456F"/>
    <w:rsid w:val="0048730F"/>
    <w:rsid w:val="004A2B9E"/>
    <w:rsid w:val="004A377A"/>
    <w:rsid w:val="004A4CA3"/>
    <w:rsid w:val="004B08C5"/>
    <w:rsid w:val="004B1846"/>
    <w:rsid w:val="004B19B8"/>
    <w:rsid w:val="004D0365"/>
    <w:rsid w:val="004D51F1"/>
    <w:rsid w:val="004E38C7"/>
    <w:rsid w:val="0050356B"/>
    <w:rsid w:val="005045F3"/>
    <w:rsid w:val="0051196C"/>
    <w:rsid w:val="00517BA0"/>
    <w:rsid w:val="00524656"/>
    <w:rsid w:val="0054175A"/>
    <w:rsid w:val="00550561"/>
    <w:rsid w:val="005831D1"/>
    <w:rsid w:val="00585DEB"/>
    <w:rsid w:val="005A0FC5"/>
    <w:rsid w:val="005C3DBD"/>
    <w:rsid w:val="005C7CC0"/>
    <w:rsid w:val="00617AFE"/>
    <w:rsid w:val="006231A1"/>
    <w:rsid w:val="00624B9F"/>
    <w:rsid w:val="0064129E"/>
    <w:rsid w:val="00665252"/>
    <w:rsid w:val="0068545F"/>
    <w:rsid w:val="006F22DC"/>
    <w:rsid w:val="006F3FDB"/>
    <w:rsid w:val="00712142"/>
    <w:rsid w:val="00723D69"/>
    <w:rsid w:val="00740C88"/>
    <w:rsid w:val="00741B52"/>
    <w:rsid w:val="00742C37"/>
    <w:rsid w:val="00751B28"/>
    <w:rsid w:val="0075422E"/>
    <w:rsid w:val="00774B00"/>
    <w:rsid w:val="00774C65"/>
    <w:rsid w:val="007820D7"/>
    <w:rsid w:val="007913F3"/>
    <w:rsid w:val="007967C3"/>
    <w:rsid w:val="007C28DF"/>
    <w:rsid w:val="007D4A1D"/>
    <w:rsid w:val="00807E1A"/>
    <w:rsid w:val="00814613"/>
    <w:rsid w:val="00823C58"/>
    <w:rsid w:val="00834A25"/>
    <w:rsid w:val="00841E5F"/>
    <w:rsid w:val="00867D00"/>
    <w:rsid w:val="00867D10"/>
    <w:rsid w:val="008B080E"/>
    <w:rsid w:val="008C1333"/>
    <w:rsid w:val="008D6E6A"/>
    <w:rsid w:val="008F2D4C"/>
    <w:rsid w:val="00901EF7"/>
    <w:rsid w:val="00913346"/>
    <w:rsid w:val="009237BE"/>
    <w:rsid w:val="0092587F"/>
    <w:rsid w:val="00972304"/>
    <w:rsid w:val="009930E4"/>
    <w:rsid w:val="009B1669"/>
    <w:rsid w:val="009B2539"/>
    <w:rsid w:val="009B53C9"/>
    <w:rsid w:val="009C2E8A"/>
    <w:rsid w:val="009D77CB"/>
    <w:rsid w:val="009E029A"/>
    <w:rsid w:val="009F7FCE"/>
    <w:rsid w:val="00A0171D"/>
    <w:rsid w:val="00A34C84"/>
    <w:rsid w:val="00A462AE"/>
    <w:rsid w:val="00A517E3"/>
    <w:rsid w:val="00A72A6C"/>
    <w:rsid w:val="00A81B62"/>
    <w:rsid w:val="00A82BF4"/>
    <w:rsid w:val="00A858C5"/>
    <w:rsid w:val="00A914ED"/>
    <w:rsid w:val="00AA7365"/>
    <w:rsid w:val="00AC4801"/>
    <w:rsid w:val="00AD15B8"/>
    <w:rsid w:val="00AE4E32"/>
    <w:rsid w:val="00AE4FBC"/>
    <w:rsid w:val="00AF4813"/>
    <w:rsid w:val="00B12F27"/>
    <w:rsid w:val="00B23481"/>
    <w:rsid w:val="00B41D08"/>
    <w:rsid w:val="00B43E68"/>
    <w:rsid w:val="00B62ADA"/>
    <w:rsid w:val="00B81F39"/>
    <w:rsid w:val="00BA688B"/>
    <w:rsid w:val="00BB047B"/>
    <w:rsid w:val="00BB7645"/>
    <w:rsid w:val="00BC6FCF"/>
    <w:rsid w:val="00BE5223"/>
    <w:rsid w:val="00BF3E5F"/>
    <w:rsid w:val="00C1012F"/>
    <w:rsid w:val="00C20275"/>
    <w:rsid w:val="00C214B7"/>
    <w:rsid w:val="00C45325"/>
    <w:rsid w:val="00C619DC"/>
    <w:rsid w:val="00C6673C"/>
    <w:rsid w:val="00CA34F6"/>
    <w:rsid w:val="00CA39DA"/>
    <w:rsid w:val="00CA7625"/>
    <w:rsid w:val="00CE5CAE"/>
    <w:rsid w:val="00CF1509"/>
    <w:rsid w:val="00D165B3"/>
    <w:rsid w:val="00DA5637"/>
    <w:rsid w:val="00DC2CA9"/>
    <w:rsid w:val="00DD041C"/>
    <w:rsid w:val="00DD4340"/>
    <w:rsid w:val="00E16605"/>
    <w:rsid w:val="00E3677F"/>
    <w:rsid w:val="00E46495"/>
    <w:rsid w:val="00E603C7"/>
    <w:rsid w:val="00E74792"/>
    <w:rsid w:val="00E801B7"/>
    <w:rsid w:val="00EA0BDD"/>
    <w:rsid w:val="00EB58B4"/>
    <w:rsid w:val="00ED29C4"/>
    <w:rsid w:val="00EF06FD"/>
    <w:rsid w:val="00F303D5"/>
    <w:rsid w:val="00F321B4"/>
    <w:rsid w:val="00F32436"/>
    <w:rsid w:val="00F326FC"/>
    <w:rsid w:val="00F33781"/>
    <w:rsid w:val="00F5587E"/>
    <w:rsid w:val="00F608B9"/>
    <w:rsid w:val="00F650D4"/>
    <w:rsid w:val="00F675EC"/>
    <w:rsid w:val="00F75AE3"/>
    <w:rsid w:val="00FB5638"/>
    <w:rsid w:val="00FC5B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9EAF2"/>
  <w15:docId w15:val="{EB91EB81-6B10-4DB3-B64C-FEF296CAE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1">
    <w:lsdException w:name="Normal" w:qFormat="1"/>
    <w:lsdException w:name="heading 2" w:semiHidden="1"/>
    <w:lsdException w:name="heading 3" w:semiHidden="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uiPriority w:val="99"/>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link w:val="FootnoteTextChar"/>
    <w:uiPriority w:val="99"/>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customStyle="1" w:styleId="footnote">
    <w:name w:val="footnote"/>
    <w:rsid w:val="006F3FDB"/>
    <w:pPr>
      <w:keepLines/>
      <w:widowControl w:val="0"/>
      <w:spacing w:line="200" w:lineRule="exact"/>
      <w:ind w:firstLine="245"/>
      <w:jc w:val="both"/>
    </w:pPr>
    <w:rPr>
      <w:rFonts w:eastAsia="SimSun"/>
      <w:sz w:val="16"/>
    </w:rPr>
  </w:style>
  <w:style w:type="paragraph" w:customStyle="1" w:styleId="Affiliation">
    <w:name w:val="Affiliation"/>
    <w:next w:val="Normal"/>
    <w:rsid w:val="006F3FDB"/>
    <w:pPr>
      <w:suppressAutoHyphens/>
      <w:spacing w:line="200" w:lineRule="exact"/>
      <w:jc w:val="center"/>
    </w:pPr>
    <w:rPr>
      <w:rFonts w:eastAsia="SimSun"/>
      <w:i/>
      <w:noProof/>
      <w:sz w:val="16"/>
    </w:rPr>
  </w:style>
  <w:style w:type="character" w:styleId="CommentReference">
    <w:name w:val="annotation reference"/>
    <w:basedOn w:val="DefaultParagraphFont"/>
    <w:uiPriority w:val="99"/>
    <w:semiHidden/>
    <w:unhideWhenUsed/>
    <w:rsid w:val="006F3FDB"/>
    <w:rPr>
      <w:sz w:val="16"/>
      <w:szCs w:val="16"/>
    </w:rPr>
  </w:style>
  <w:style w:type="paragraph" w:styleId="CommentText">
    <w:name w:val="annotation text"/>
    <w:basedOn w:val="Normal"/>
    <w:link w:val="CommentTextChar"/>
    <w:uiPriority w:val="99"/>
    <w:unhideWhenUsed/>
    <w:rsid w:val="006F3FDB"/>
    <w:pPr>
      <w:spacing w:line="240" w:lineRule="auto"/>
    </w:pPr>
  </w:style>
  <w:style w:type="character" w:customStyle="1" w:styleId="CommentTextChar">
    <w:name w:val="Comment Text Char"/>
    <w:basedOn w:val="DefaultParagraphFont"/>
    <w:link w:val="CommentText"/>
    <w:uiPriority w:val="99"/>
    <w:rsid w:val="006F3FDB"/>
  </w:style>
  <w:style w:type="paragraph" w:styleId="CommentSubject">
    <w:name w:val="annotation subject"/>
    <w:basedOn w:val="CommentText"/>
    <w:next w:val="CommentText"/>
    <w:link w:val="CommentSubjectChar"/>
    <w:semiHidden/>
    <w:unhideWhenUsed/>
    <w:rsid w:val="006F3FDB"/>
    <w:rPr>
      <w:b/>
      <w:bCs/>
    </w:rPr>
  </w:style>
  <w:style w:type="character" w:customStyle="1" w:styleId="CommentSubjectChar">
    <w:name w:val="Comment Subject Char"/>
    <w:basedOn w:val="CommentTextChar"/>
    <w:link w:val="CommentSubject"/>
    <w:semiHidden/>
    <w:rsid w:val="006F3FDB"/>
    <w:rPr>
      <w:b/>
      <w:bCs/>
    </w:rPr>
  </w:style>
  <w:style w:type="paragraph" w:styleId="BalloonText">
    <w:name w:val="Balloon Text"/>
    <w:basedOn w:val="Normal"/>
    <w:link w:val="BalloonTextChar"/>
    <w:semiHidden/>
    <w:unhideWhenUsed/>
    <w:rsid w:val="006F3FD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3FDB"/>
    <w:rPr>
      <w:rFonts w:ascii="Segoe UI" w:hAnsi="Segoe UI" w:cs="Segoe UI"/>
      <w:sz w:val="18"/>
      <w:szCs w:val="18"/>
    </w:rPr>
  </w:style>
  <w:style w:type="paragraph" w:styleId="ListParagraph">
    <w:name w:val="List Paragraph"/>
    <w:basedOn w:val="Normal"/>
    <w:rsid w:val="00774C65"/>
    <w:pPr>
      <w:ind w:left="720"/>
      <w:contextualSpacing/>
    </w:pPr>
  </w:style>
  <w:style w:type="paragraph" w:styleId="BodyText">
    <w:name w:val="Body Text"/>
    <w:basedOn w:val="Normal"/>
    <w:link w:val="BodyTextChar"/>
    <w:qFormat/>
    <w:rsid w:val="00972304"/>
    <w:pPr>
      <w:overflowPunct/>
      <w:autoSpaceDE/>
      <w:autoSpaceDN/>
      <w:adjustRightInd/>
      <w:spacing w:after="180"/>
      <w:ind w:firstLine="0"/>
      <w:jc w:val="left"/>
      <w:textAlignment w:val="auto"/>
    </w:pPr>
    <w:rPr>
      <w:rFonts w:asciiTheme="minorHAnsi" w:eastAsiaTheme="minorHAnsi" w:hAnsiTheme="minorHAnsi" w:cstheme="minorBidi"/>
      <w:kern w:val="18"/>
      <w:szCs w:val="18"/>
      <w:lang w:val="en-GB"/>
    </w:rPr>
  </w:style>
  <w:style w:type="character" w:customStyle="1" w:styleId="BodyTextChar">
    <w:name w:val="Body Text Char"/>
    <w:basedOn w:val="DefaultParagraphFont"/>
    <w:link w:val="BodyText"/>
    <w:rsid w:val="00972304"/>
    <w:rPr>
      <w:rFonts w:asciiTheme="minorHAnsi" w:eastAsiaTheme="minorHAnsi" w:hAnsiTheme="minorHAnsi" w:cstheme="minorBidi"/>
      <w:kern w:val="18"/>
      <w:szCs w:val="18"/>
      <w:lang w:val="en-GB"/>
    </w:rPr>
  </w:style>
  <w:style w:type="character" w:customStyle="1" w:styleId="FootnoteTextChar">
    <w:name w:val="Footnote Text Char"/>
    <w:basedOn w:val="DefaultParagraphFont"/>
    <w:link w:val="FootnoteText"/>
    <w:uiPriority w:val="99"/>
    <w:semiHidden/>
    <w:rsid w:val="0032152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39360">
      <w:bodyDiv w:val="1"/>
      <w:marLeft w:val="0"/>
      <w:marRight w:val="0"/>
      <w:marTop w:val="0"/>
      <w:marBottom w:val="0"/>
      <w:divBdr>
        <w:top w:val="none" w:sz="0" w:space="0" w:color="auto"/>
        <w:left w:val="none" w:sz="0" w:space="0" w:color="auto"/>
        <w:bottom w:val="none" w:sz="0" w:space="0" w:color="auto"/>
        <w:right w:val="none" w:sz="0" w:space="0" w:color="auto"/>
      </w:divBdr>
    </w:div>
    <w:div w:id="445540807">
      <w:bodyDiv w:val="1"/>
      <w:marLeft w:val="0"/>
      <w:marRight w:val="0"/>
      <w:marTop w:val="0"/>
      <w:marBottom w:val="0"/>
      <w:divBdr>
        <w:top w:val="none" w:sz="0" w:space="0" w:color="auto"/>
        <w:left w:val="none" w:sz="0" w:space="0" w:color="auto"/>
        <w:bottom w:val="none" w:sz="0" w:space="0" w:color="auto"/>
        <w:right w:val="none" w:sz="0" w:space="0" w:color="auto"/>
      </w:divBdr>
    </w:div>
    <w:div w:id="658851675">
      <w:bodyDiv w:val="1"/>
      <w:marLeft w:val="0"/>
      <w:marRight w:val="0"/>
      <w:marTop w:val="0"/>
      <w:marBottom w:val="0"/>
      <w:divBdr>
        <w:top w:val="none" w:sz="0" w:space="0" w:color="auto"/>
        <w:left w:val="none" w:sz="0" w:space="0" w:color="auto"/>
        <w:bottom w:val="none" w:sz="0" w:space="0" w:color="auto"/>
        <w:right w:val="none" w:sz="0" w:space="0" w:color="auto"/>
      </w:divBdr>
    </w:div>
    <w:div w:id="777022288">
      <w:bodyDiv w:val="1"/>
      <w:marLeft w:val="0"/>
      <w:marRight w:val="0"/>
      <w:marTop w:val="0"/>
      <w:marBottom w:val="0"/>
      <w:divBdr>
        <w:top w:val="none" w:sz="0" w:space="0" w:color="auto"/>
        <w:left w:val="none" w:sz="0" w:space="0" w:color="auto"/>
        <w:bottom w:val="none" w:sz="0" w:space="0" w:color="auto"/>
        <w:right w:val="none" w:sz="0" w:space="0" w:color="auto"/>
      </w:divBdr>
    </w:div>
    <w:div w:id="916787142">
      <w:bodyDiv w:val="1"/>
      <w:marLeft w:val="0"/>
      <w:marRight w:val="0"/>
      <w:marTop w:val="0"/>
      <w:marBottom w:val="0"/>
      <w:divBdr>
        <w:top w:val="none" w:sz="0" w:space="0" w:color="auto"/>
        <w:left w:val="none" w:sz="0" w:space="0" w:color="auto"/>
        <w:bottom w:val="none" w:sz="0" w:space="0" w:color="auto"/>
        <w:right w:val="none" w:sz="0" w:space="0" w:color="auto"/>
      </w:divBdr>
    </w:div>
    <w:div w:id="1529104146">
      <w:bodyDiv w:val="1"/>
      <w:marLeft w:val="0"/>
      <w:marRight w:val="0"/>
      <w:marTop w:val="0"/>
      <w:marBottom w:val="0"/>
      <w:divBdr>
        <w:top w:val="none" w:sz="0" w:space="0" w:color="auto"/>
        <w:left w:val="none" w:sz="0" w:space="0" w:color="auto"/>
        <w:bottom w:val="none" w:sz="0" w:space="0" w:color="auto"/>
        <w:right w:val="none" w:sz="0" w:space="0" w:color="auto"/>
      </w:divBdr>
    </w:div>
    <w:div w:id="1657415961">
      <w:bodyDiv w:val="1"/>
      <w:marLeft w:val="0"/>
      <w:marRight w:val="0"/>
      <w:marTop w:val="0"/>
      <w:marBottom w:val="0"/>
      <w:divBdr>
        <w:top w:val="none" w:sz="0" w:space="0" w:color="auto"/>
        <w:left w:val="none" w:sz="0" w:space="0" w:color="auto"/>
        <w:bottom w:val="none" w:sz="0" w:space="0" w:color="auto"/>
        <w:right w:val="none" w:sz="0" w:space="0" w:color="auto"/>
      </w:divBdr>
    </w:div>
    <w:div w:id="2111122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gov.ie/242770/19cd0477-6efd-478f-b678-ba6dd133cbdf.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ecd-ilibrary.org/docserver/83b97aca-en.pdf?expires=1695834081&amp;id=id&amp;accname=guest&amp;checksum=05D101D7E695456D559870538060126C"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rishtimes.com/opinion/editorials/2023/07/07/the-irish-times-view-on-reform-of-an-bord-pleanala-a-vital-tas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rrionstreet.ie/merrionstreet/en/news-room/releases/20190409_nch_report.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ba001b-06ac-48fd-bcf0-55b17e177a34" xsi:nil="true"/>
    <lcf76f155ced4ddcb4097134ff3c332f xmlns="813522ec-5194-47e3-9786-143f249d2e2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C17AA06996074690277143DF62B155" ma:contentTypeVersion="13" ma:contentTypeDescription="Create a new document." ma:contentTypeScope="" ma:versionID="19f6d395ca1fa1de1ea130e5f1965b7a">
  <xsd:schema xmlns:xsd="http://www.w3.org/2001/XMLSchema" xmlns:xs="http://www.w3.org/2001/XMLSchema" xmlns:p="http://schemas.microsoft.com/office/2006/metadata/properties" xmlns:ns2="813522ec-5194-47e3-9786-143f249d2e26" xmlns:ns3="66ba001b-06ac-48fd-bcf0-55b17e177a34" targetNamespace="http://schemas.microsoft.com/office/2006/metadata/properties" ma:root="true" ma:fieldsID="2a834f539480c08d4d249bd47915e627" ns2:_="" ns3:_="">
    <xsd:import namespace="813522ec-5194-47e3-9786-143f249d2e26"/>
    <xsd:import namespace="66ba001b-06ac-48fd-bcf0-55b17e177a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522ec-5194-47e3-9786-143f249d2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344948-6e5c-4236-97d3-d87cc108865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a001b-06ac-48fd-bcf0-55b17e177a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22621-3f14-4696-ae58-bbda47b1ea78}" ma:internalName="TaxCatchAll" ma:showField="CatchAllData" ma:web="66ba001b-06ac-48fd-bcf0-55b17e177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A8E3-6A8A-430E-AEB5-1073FC856763}">
  <ds:schemaRefs>
    <ds:schemaRef ds:uri="http://purl.org/dc/dcmitype/"/>
    <ds:schemaRef ds:uri="http://www.w3.org/XML/1998/namespace"/>
    <ds:schemaRef ds:uri="66ba001b-06ac-48fd-bcf0-55b17e177a34"/>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813522ec-5194-47e3-9786-143f249d2e2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6D383C3-E3A5-4877-A153-06B88F2E8E6B}">
  <ds:schemaRefs>
    <ds:schemaRef ds:uri="http://schemas.microsoft.com/sharepoint/v3/contenttype/forms"/>
  </ds:schemaRefs>
</ds:datastoreItem>
</file>

<file path=customXml/itemProps3.xml><?xml version="1.0" encoding="utf-8"?>
<ds:datastoreItem xmlns:ds="http://schemas.openxmlformats.org/officeDocument/2006/customXml" ds:itemID="{9FB6D457-C30D-47F4-AB1D-50BC8BBA2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522ec-5194-47e3-9786-143f249d2e26"/>
    <ds:schemaRef ds:uri="66ba001b-06ac-48fd-bcf0-55b17e177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F0AAE-CD41-4C0B-BD38-34DB08A1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2579</Words>
  <Characters>14703</Characters>
  <Application>Microsoft Office Word</Application>
  <DocSecurity>0</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Diane Maguire</cp:lastModifiedBy>
  <cp:revision>2</cp:revision>
  <dcterms:created xsi:type="dcterms:W3CDTF">2024-03-25T08:45:00Z</dcterms:created>
  <dcterms:modified xsi:type="dcterms:W3CDTF">2024-03-25T08:45:00Z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0x0101001CC17AA06996074690277143DF62B155</vt:lpwstr>
  </property>
</Properties>
</file>