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107340FC" w:rsidR="00F24B7E" w:rsidRPr="00D75834" w:rsidRDefault="00B23A81"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Senior Transport Regulation Executive Of</w:t>
      </w:r>
      <w:r w:rsidR="00E72331">
        <w:rPr>
          <w:rFonts w:ascii="Calibri" w:hAnsi="Calibri"/>
          <w:b/>
          <w:color w:val="000000" w:themeColor="text1"/>
          <w:sz w:val="36"/>
          <w:lang w:val="en-IE"/>
        </w:rPr>
        <w:t>ficer (Panel)</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624C3EDE" w14:textId="77777777" w:rsidR="00F24B7E" w:rsidRPr="000F2327" w:rsidRDefault="00F24B7E" w:rsidP="00D75834">
      <w:pPr>
        <w:spacing w:line="360" w:lineRule="auto"/>
        <w:ind w:left="-720" w:right="-32"/>
        <w:jc w:val="center"/>
        <w:rPr>
          <w:rFonts w:ascii="Calibri" w:hAnsi="Calibri"/>
          <w:b/>
          <w:color w:val="000000" w:themeColor="text1"/>
          <w:sz w:val="28"/>
          <w:lang w:val="en-IE"/>
        </w:rPr>
      </w:pPr>
    </w:p>
    <w:p w14:paraId="2214C60F" w14:textId="77777777" w:rsidR="00AB0218" w:rsidRPr="000F2327" w:rsidRDefault="00AB0218"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2FED53C6"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E72331">
              <w:rPr>
                <w:rFonts w:ascii="Calibri" w:hAnsi="Calibri" w:cs="Arial"/>
                <w:bCs/>
                <w:color w:val="000000" w:themeColor="text1"/>
                <w:sz w:val="22"/>
                <w:szCs w:val="22"/>
              </w:rPr>
              <w:t>Senior Transpo</w:t>
            </w:r>
            <w:r w:rsidR="002B5245">
              <w:rPr>
                <w:rFonts w:ascii="Calibri" w:hAnsi="Calibri" w:cs="Arial"/>
                <w:bCs/>
                <w:color w:val="000000" w:themeColor="text1"/>
                <w:sz w:val="22"/>
                <w:szCs w:val="22"/>
              </w:rPr>
              <w:t>rt Regulation Executive Officer</w:t>
            </w:r>
          </w:p>
          <w:p w14:paraId="55A974E1" w14:textId="692C66B4"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E72331">
              <w:rPr>
                <w:rFonts w:ascii="Calibri" w:hAnsi="Calibri" w:cs="Arial"/>
                <w:bCs/>
                <w:color w:val="000000" w:themeColor="text1"/>
                <w:sz w:val="22"/>
                <w:szCs w:val="22"/>
              </w:rPr>
              <w:t>Higher Executive Officer</w:t>
            </w:r>
          </w:p>
          <w:p w14:paraId="60F5C90F" w14:textId="3E0E8E4E"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E72331">
              <w:rPr>
                <w:rFonts w:ascii="Calibri" w:hAnsi="Calibri" w:cs="Arial"/>
                <w:bCs/>
                <w:color w:val="000000" w:themeColor="text1"/>
                <w:sz w:val="22"/>
                <w:szCs w:val="22"/>
              </w:rPr>
              <w:t>Transport Regulation</w:t>
            </w:r>
            <w:r w:rsidR="00F24B7E" w:rsidRPr="000F2327">
              <w:rPr>
                <w:rFonts w:ascii="Calibri" w:hAnsi="Calibri" w:cs="Arial"/>
                <w:b/>
                <w:bCs/>
                <w:color w:val="000000" w:themeColor="text1"/>
                <w:sz w:val="22"/>
                <w:szCs w:val="22"/>
              </w:rPr>
              <w:t xml:space="preserve">                    </w:t>
            </w:r>
          </w:p>
          <w:p w14:paraId="502F1ED0" w14:textId="1B950E4C"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E72331">
              <w:rPr>
                <w:rFonts w:ascii="Calibri" w:hAnsi="Calibri" w:cs="Arial"/>
                <w:color w:val="000000" w:themeColor="text1"/>
                <w:sz w:val="22"/>
                <w:szCs w:val="22"/>
              </w:rPr>
              <w:t>Licensing Manager</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110A70BF"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E72331">
              <w:rPr>
                <w:rFonts w:asciiTheme="minorHAnsi" w:eastAsiaTheme="minorHAnsi" w:hAnsiTheme="minorHAnsi" w:cstheme="minorBidi"/>
                <w:color w:val="000000" w:themeColor="text1"/>
                <w:sz w:val="22"/>
                <w:szCs w:val="22"/>
                <w:lang w:val="en-IE" w:eastAsia="en-US"/>
              </w:rPr>
              <w:t>€54,764</w:t>
            </w: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1662445C" w:rsidR="00F24B7E" w:rsidRPr="00EE34D0" w:rsidRDefault="00E72331" w:rsidP="00F24B7E">
            <w:pPr>
              <w:spacing w:line="360" w:lineRule="auto"/>
              <w:ind w:right="-32"/>
              <w:jc w:val="center"/>
              <w:rPr>
                <w:rFonts w:ascii="Calibri" w:hAnsi="Calibri"/>
                <w:b/>
                <w:spacing w:val="-2"/>
                <w:sz w:val="22"/>
                <w:szCs w:val="22"/>
              </w:rPr>
            </w:pPr>
            <w:r>
              <w:rPr>
                <w:rFonts w:ascii="Calibri" w:hAnsi="Calibri"/>
                <w:b/>
                <w:spacing w:val="-2"/>
                <w:sz w:val="22"/>
                <w:szCs w:val="22"/>
              </w:rPr>
              <w:t>12pm (noon) on Friday, 5</w:t>
            </w:r>
            <w:r w:rsidRPr="00E72331">
              <w:rPr>
                <w:rFonts w:ascii="Calibri" w:hAnsi="Calibri"/>
                <w:b/>
                <w:spacing w:val="-2"/>
                <w:sz w:val="22"/>
                <w:szCs w:val="22"/>
                <w:vertAlign w:val="superscript"/>
              </w:rPr>
              <w:t>th</w:t>
            </w:r>
            <w:r>
              <w:rPr>
                <w:rFonts w:ascii="Calibri" w:hAnsi="Calibri"/>
                <w:b/>
                <w:spacing w:val="-2"/>
                <w:sz w:val="22"/>
                <w:szCs w:val="22"/>
              </w:rPr>
              <w:t xml:space="preserve"> April 2024</w:t>
            </w:r>
          </w:p>
          <w:p w14:paraId="457F898C" w14:textId="2C491C43" w:rsidR="00140DC9" w:rsidRPr="000F2327" w:rsidRDefault="00E72331" w:rsidP="00E72331">
            <w:pPr>
              <w:spacing w:line="360" w:lineRule="auto"/>
              <w:ind w:right="-32"/>
              <w:jc w:val="center"/>
              <w:rPr>
                <w:rFonts w:ascii="Calibri" w:hAnsi="Calibri"/>
                <w:color w:val="000000" w:themeColor="text1"/>
                <w:spacing w:val="-2"/>
                <w:sz w:val="22"/>
                <w:lang w:val="en-IE"/>
              </w:rPr>
            </w:pPr>
            <w:r>
              <w:rPr>
                <w:rFonts w:ascii="Calibri" w:hAnsi="Calibri"/>
                <w:b/>
                <w:spacing w:val="-2"/>
                <w:sz w:val="22"/>
                <w:szCs w:val="22"/>
              </w:rPr>
              <w:t xml:space="preserve">Contact: </w:t>
            </w:r>
            <w:r w:rsidRPr="00051CDC">
              <w:rPr>
                <w:rFonts w:ascii="Calibri" w:hAnsi="Calibri"/>
                <w:b/>
                <w:spacing w:val="-2"/>
                <w:sz w:val="22"/>
                <w:szCs w:val="22"/>
              </w:rPr>
              <w:t>careers@nationaltransport.ie</w:t>
            </w:r>
            <w:r>
              <w:rPr>
                <w:rFonts w:ascii="Calibri" w:hAnsi="Calibri"/>
                <w:b/>
                <w:spacing w:val="-2"/>
                <w:sz w:val="22"/>
                <w:szCs w:val="22"/>
              </w:rPr>
              <w:t xml:space="preserve"> </w:t>
            </w: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550878A8" w:rsidR="00AB0218" w:rsidRDefault="00AB0218" w:rsidP="00E6233C">
      <w:pPr>
        <w:suppressAutoHyphens/>
        <w:spacing w:line="360" w:lineRule="auto"/>
        <w:ind w:right="-32"/>
        <w:rPr>
          <w:rFonts w:ascii="Calibri" w:hAnsi="Calibri"/>
          <w:color w:val="000000" w:themeColor="text1"/>
          <w:spacing w:val="-2"/>
          <w:lang w:val="en-IE"/>
        </w:rPr>
      </w:pPr>
    </w:p>
    <w:p w14:paraId="4109A65D" w14:textId="3EB6C87E" w:rsidR="00051CDC" w:rsidRDefault="00051CDC" w:rsidP="00E6233C">
      <w:pPr>
        <w:suppressAutoHyphens/>
        <w:spacing w:line="360" w:lineRule="auto"/>
        <w:ind w:right="-32"/>
        <w:rPr>
          <w:rFonts w:ascii="Calibri" w:hAnsi="Calibri"/>
          <w:color w:val="000000" w:themeColor="text1"/>
          <w:spacing w:val="-2"/>
          <w:lang w:val="en-IE"/>
        </w:rPr>
      </w:pPr>
    </w:p>
    <w:p w14:paraId="05365561" w14:textId="690F1439" w:rsidR="00051CDC" w:rsidRDefault="00051CDC" w:rsidP="00E6233C">
      <w:pPr>
        <w:suppressAutoHyphens/>
        <w:spacing w:line="360" w:lineRule="auto"/>
        <w:ind w:right="-32"/>
        <w:rPr>
          <w:rFonts w:ascii="Calibri" w:hAnsi="Calibri"/>
          <w:color w:val="000000" w:themeColor="text1"/>
          <w:spacing w:val="-2"/>
          <w:lang w:val="en-IE"/>
        </w:rPr>
      </w:pPr>
    </w:p>
    <w:p w14:paraId="0287C985" w14:textId="77777777" w:rsidR="00051CDC" w:rsidRPr="000F2327" w:rsidRDefault="00051CDC" w:rsidP="00E6233C">
      <w:pPr>
        <w:suppressAutoHyphens/>
        <w:spacing w:line="360" w:lineRule="auto"/>
        <w:ind w:right="-32"/>
        <w:rPr>
          <w:rFonts w:ascii="Calibri" w:hAnsi="Calibri"/>
          <w:color w:val="000000" w:themeColor="text1"/>
          <w:spacing w:val="-2"/>
          <w:lang w:val="en-IE"/>
        </w:rPr>
      </w:pPr>
    </w:p>
    <w:p w14:paraId="5C16A232" w14:textId="7777777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lastRenderedPageBreak/>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D75B14">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D75B14">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D75B14">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D75B14">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D75B14">
      <w:pPr>
        <w:pStyle w:val="BodyText"/>
        <w:widowControl w:val="0"/>
        <w:numPr>
          <w:ilvl w:val="0"/>
          <w:numId w:val="5"/>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2DA0DE98"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r w:rsidRPr="000F2327">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Programme as well as a cycling infrastructure programme and various other projects and programmes in the sustainable transport area.  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206617EF" w:rsidR="00534C6C" w:rsidRDefault="00534C6C" w:rsidP="00534C6C">
      <w:pPr>
        <w:pStyle w:val="BodyText"/>
        <w:kinsoku w:val="0"/>
        <w:overflowPunct w:val="0"/>
        <w:spacing w:line="360" w:lineRule="auto"/>
        <w:ind w:right="-32"/>
        <w:jc w:val="both"/>
        <w:rPr>
          <w:rStyle w:val="Hyperlink"/>
          <w:rFonts w:asciiTheme="minorHAnsi" w:hAnsiTheme="minorHAnsi"/>
          <w:sz w:val="22"/>
          <w:szCs w:val="22"/>
          <w:lang w:val="en-IE"/>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07B0E227" w14:textId="77777777" w:rsidR="00E72331" w:rsidRPr="00E72331" w:rsidRDefault="00E72331" w:rsidP="00E72331">
      <w:pPr>
        <w:pStyle w:val="BodyText"/>
        <w:kinsoku w:val="0"/>
        <w:overflowPunct w:val="0"/>
        <w:spacing w:line="360" w:lineRule="auto"/>
        <w:ind w:right="-32"/>
        <w:jc w:val="both"/>
        <w:rPr>
          <w:rFonts w:asciiTheme="minorHAnsi" w:hAnsiTheme="minorHAnsi" w:cstheme="minorHAnsi"/>
          <w:sz w:val="22"/>
          <w:szCs w:val="22"/>
          <w:lang w:val="en-IE" w:eastAsia="en-US"/>
        </w:rPr>
      </w:pPr>
    </w:p>
    <w:p w14:paraId="31A70EF9" w14:textId="4295485A" w:rsidR="00E72331" w:rsidRDefault="00E72331" w:rsidP="00E72331">
      <w:pPr>
        <w:pStyle w:val="CommentText"/>
        <w:spacing w:line="360" w:lineRule="auto"/>
        <w:rPr>
          <w:rFonts w:asciiTheme="minorHAnsi" w:hAnsiTheme="minorHAnsi" w:cstheme="minorHAnsi"/>
          <w:sz w:val="22"/>
          <w:szCs w:val="22"/>
        </w:rPr>
      </w:pPr>
      <w:r w:rsidRPr="00E72331">
        <w:rPr>
          <w:rFonts w:asciiTheme="minorHAnsi" w:hAnsiTheme="minorHAnsi" w:cstheme="minorHAnsi"/>
          <w:sz w:val="22"/>
          <w:szCs w:val="22"/>
        </w:rPr>
        <w:t>The National Transport Authority wishes to establish a panel of suitably exper</w:t>
      </w:r>
      <w:r>
        <w:rPr>
          <w:rFonts w:asciiTheme="minorHAnsi" w:hAnsiTheme="minorHAnsi" w:cstheme="minorHAnsi"/>
          <w:sz w:val="22"/>
          <w:szCs w:val="22"/>
        </w:rPr>
        <w:t>ienced and qualified Senior Transport Regulation Executive Officer</w:t>
      </w:r>
      <w:r w:rsidRPr="00E72331">
        <w:rPr>
          <w:rFonts w:asciiTheme="minorHAnsi" w:hAnsiTheme="minorHAnsi" w:cstheme="minorHAnsi"/>
          <w:sz w:val="22"/>
          <w:szCs w:val="22"/>
        </w:rPr>
        <w:t xml:space="preserve"> from which vacanci</w:t>
      </w:r>
      <w:r w:rsidR="00051CDC">
        <w:rPr>
          <w:rFonts w:asciiTheme="minorHAnsi" w:hAnsiTheme="minorHAnsi" w:cstheme="minorHAnsi"/>
          <w:sz w:val="22"/>
          <w:szCs w:val="22"/>
        </w:rPr>
        <w:t xml:space="preserve">es may be filled as they arise.  </w:t>
      </w:r>
      <w:r w:rsidRPr="00E72331">
        <w:rPr>
          <w:rFonts w:asciiTheme="minorHAnsi" w:hAnsiTheme="minorHAnsi" w:cstheme="minorHAnsi"/>
          <w:sz w:val="22"/>
          <w:szCs w:val="22"/>
        </w:rPr>
        <w:t xml:space="preserve">The panel will be live for one year and may </w:t>
      </w:r>
      <w:r w:rsidR="00051CDC">
        <w:rPr>
          <w:rFonts w:asciiTheme="minorHAnsi" w:hAnsiTheme="minorHAnsi" w:cstheme="minorHAnsi"/>
          <w:sz w:val="22"/>
          <w:szCs w:val="22"/>
        </w:rPr>
        <w:t xml:space="preserve">be extended for a further year.  </w:t>
      </w:r>
      <w:r w:rsidR="00847A4B">
        <w:rPr>
          <w:rFonts w:asciiTheme="minorHAnsi" w:hAnsiTheme="minorHAnsi" w:cstheme="minorHAnsi"/>
          <w:sz w:val="22"/>
          <w:szCs w:val="22"/>
        </w:rPr>
        <w:t xml:space="preserve">Please note </w:t>
      </w:r>
      <w:r w:rsidR="00986F03" w:rsidRPr="00986F03">
        <w:rPr>
          <w:rFonts w:asciiTheme="minorHAnsi" w:hAnsiTheme="minorHAnsi" w:cstheme="minorHAnsi"/>
          <w:sz w:val="22"/>
          <w:szCs w:val="22"/>
        </w:rPr>
        <w:t>it is intended that both permanent and fixed term vacancies would be drawn from this panel</w:t>
      </w:r>
      <w:r w:rsidR="00986F03">
        <w:rPr>
          <w:rFonts w:asciiTheme="minorHAnsi" w:hAnsiTheme="minorHAnsi" w:cstheme="minorHAnsi"/>
          <w:sz w:val="22"/>
          <w:szCs w:val="22"/>
        </w:rPr>
        <w:t>.</w:t>
      </w:r>
    </w:p>
    <w:p w14:paraId="099C00F4" w14:textId="1AFED853" w:rsidR="00051CDC" w:rsidRDefault="00051CDC" w:rsidP="00E72331">
      <w:pPr>
        <w:pStyle w:val="CommentText"/>
        <w:spacing w:line="360" w:lineRule="auto"/>
        <w:rPr>
          <w:rFonts w:asciiTheme="minorHAnsi" w:hAnsiTheme="minorHAnsi" w:cstheme="minorHAnsi"/>
          <w:sz w:val="22"/>
          <w:szCs w:val="22"/>
        </w:rPr>
      </w:pPr>
    </w:p>
    <w:p w14:paraId="3DBDB58E" w14:textId="77777777" w:rsidR="00051CDC" w:rsidRPr="00E72331" w:rsidRDefault="00051CDC" w:rsidP="00E72331">
      <w:pPr>
        <w:pStyle w:val="CommentText"/>
        <w:spacing w:line="360" w:lineRule="auto"/>
        <w:rPr>
          <w:rFonts w:asciiTheme="minorHAnsi" w:hAnsiTheme="minorHAnsi" w:cstheme="minorHAnsi"/>
          <w:sz w:val="22"/>
          <w:szCs w:val="22"/>
        </w:rPr>
      </w:pPr>
    </w:p>
    <w:p w14:paraId="53B8DC5A" w14:textId="77777777" w:rsidR="00C100A4" w:rsidRDefault="00C100A4" w:rsidP="00E6233C">
      <w:pPr>
        <w:spacing w:line="360" w:lineRule="auto"/>
        <w:ind w:right="-32"/>
        <w:jc w:val="both"/>
        <w:rPr>
          <w:rFonts w:ascii="Calibri" w:hAnsi="Calibri" w:cs="Arial"/>
          <w:color w:val="000000" w:themeColor="text1"/>
          <w:sz w:val="22"/>
          <w:szCs w:val="22"/>
          <w:lang w:val="en-IE"/>
        </w:rPr>
      </w:pPr>
    </w:p>
    <w:p w14:paraId="75EA43B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F32F8BF" w14:textId="77777777" w:rsidR="00446481" w:rsidRPr="00E72331" w:rsidRDefault="004D5DF5" w:rsidP="00E6233C">
      <w:pPr>
        <w:spacing w:line="360" w:lineRule="auto"/>
        <w:ind w:right="-32"/>
        <w:jc w:val="both"/>
        <w:rPr>
          <w:rFonts w:ascii="Calibri" w:hAnsi="Calibri" w:cs="Arial"/>
          <w:b/>
          <w:color w:val="000000" w:themeColor="text1"/>
          <w:sz w:val="26"/>
          <w:szCs w:val="26"/>
          <w:lang w:val="en-IE"/>
        </w:rPr>
      </w:pPr>
      <w:r w:rsidRPr="00E72331">
        <w:rPr>
          <w:rFonts w:ascii="Calibri" w:hAnsi="Calibri" w:cs="Arial"/>
          <w:b/>
          <w:color w:val="000000" w:themeColor="text1"/>
          <w:sz w:val="24"/>
          <w:szCs w:val="26"/>
          <w:lang w:val="en-IE"/>
        </w:rPr>
        <w:lastRenderedPageBreak/>
        <w:t>D</w:t>
      </w:r>
      <w:r w:rsidR="000F2327" w:rsidRPr="00E72331">
        <w:rPr>
          <w:rFonts w:ascii="Calibri" w:hAnsi="Calibri" w:cs="Arial"/>
          <w:b/>
          <w:color w:val="000000" w:themeColor="text1"/>
          <w:sz w:val="24"/>
          <w:szCs w:val="26"/>
          <w:lang w:val="en-IE"/>
        </w:rPr>
        <w:t>uties</w:t>
      </w:r>
      <w:r w:rsidRPr="00E72331">
        <w:rPr>
          <w:rFonts w:ascii="Calibri" w:hAnsi="Calibri" w:cs="Arial"/>
          <w:b/>
          <w:color w:val="000000" w:themeColor="text1"/>
          <w:sz w:val="24"/>
          <w:szCs w:val="26"/>
          <w:lang w:val="en-IE"/>
        </w:rPr>
        <w:t xml:space="preserve"> </w:t>
      </w:r>
      <w:r w:rsidR="000F2327" w:rsidRPr="00E72331">
        <w:rPr>
          <w:rFonts w:ascii="Calibri" w:hAnsi="Calibri" w:cs="Arial"/>
          <w:b/>
          <w:color w:val="000000" w:themeColor="text1"/>
          <w:sz w:val="24"/>
          <w:szCs w:val="26"/>
          <w:lang w:val="en-IE"/>
        </w:rPr>
        <w:t>and</w:t>
      </w:r>
      <w:r w:rsidRPr="00E72331">
        <w:rPr>
          <w:rFonts w:ascii="Calibri" w:hAnsi="Calibri" w:cs="Arial"/>
          <w:b/>
          <w:color w:val="000000" w:themeColor="text1"/>
          <w:sz w:val="24"/>
          <w:szCs w:val="26"/>
          <w:lang w:val="en-IE"/>
        </w:rPr>
        <w:t xml:space="preserve"> </w:t>
      </w:r>
      <w:r w:rsidR="000F2327" w:rsidRPr="00E72331">
        <w:rPr>
          <w:rFonts w:ascii="Calibri" w:hAnsi="Calibri" w:cs="Arial"/>
          <w:b/>
          <w:color w:val="000000" w:themeColor="text1"/>
          <w:sz w:val="24"/>
          <w:szCs w:val="26"/>
          <w:lang w:val="en-IE"/>
        </w:rPr>
        <w:t>Responsibilities</w:t>
      </w:r>
    </w:p>
    <w:p w14:paraId="6457E44B" w14:textId="77777777" w:rsidR="00E72331" w:rsidRDefault="00E72331" w:rsidP="00E72331">
      <w:pPr>
        <w:jc w:val="both"/>
        <w:rPr>
          <w:rFonts w:ascii="Calibri" w:eastAsia="Calibri" w:hAnsi="Calibri"/>
          <w:sz w:val="22"/>
          <w:szCs w:val="22"/>
          <w:lang w:eastAsia="en-US"/>
        </w:rPr>
      </w:pPr>
    </w:p>
    <w:p w14:paraId="1ADDEBD6" w14:textId="15C10772" w:rsidR="00E72331" w:rsidRPr="002D3560" w:rsidRDefault="00E72331" w:rsidP="00E72331">
      <w:pPr>
        <w:tabs>
          <w:tab w:val="left" w:pos="8364"/>
        </w:tabs>
        <w:spacing w:line="360" w:lineRule="auto"/>
        <w:ind w:right="-32"/>
        <w:jc w:val="both"/>
        <w:rPr>
          <w:rFonts w:ascii="Calibri" w:hAnsi="Calibri"/>
          <w:sz w:val="22"/>
          <w:szCs w:val="22"/>
        </w:rPr>
      </w:pPr>
      <w:r w:rsidRPr="002D3560">
        <w:rPr>
          <w:rFonts w:ascii="Calibri" w:hAnsi="Calibri"/>
          <w:sz w:val="22"/>
          <w:szCs w:val="22"/>
        </w:rPr>
        <w:t>Subject matter expert (SME) Licensing</w:t>
      </w:r>
      <w:r w:rsidR="00051CDC">
        <w:rPr>
          <w:rFonts w:ascii="Calibri" w:hAnsi="Calibri"/>
          <w:sz w:val="22"/>
          <w:szCs w:val="22"/>
        </w:rPr>
        <w:t>:</w:t>
      </w:r>
    </w:p>
    <w:p w14:paraId="4EAD3B5F" w14:textId="77777777" w:rsidR="00E72331" w:rsidRPr="002D3560" w:rsidRDefault="00E72331" w:rsidP="00D75B14">
      <w:pPr>
        <w:pStyle w:val="ListParagraph"/>
        <w:numPr>
          <w:ilvl w:val="0"/>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Case management: draft responses, manage turnaround times, escalate as queries and issues arise</w:t>
      </w:r>
    </w:p>
    <w:p w14:paraId="66CB820D" w14:textId="77777777" w:rsidR="00E72331" w:rsidRPr="002D3560" w:rsidRDefault="00E72331" w:rsidP="00D75B14">
      <w:pPr>
        <w:pStyle w:val="ListParagraph"/>
        <w:numPr>
          <w:ilvl w:val="0"/>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 xml:space="preserve">Process development and maintenance: Develop, write and maintain relevant processes, information and communication documents </w:t>
      </w:r>
    </w:p>
    <w:p w14:paraId="2849250F" w14:textId="77777777" w:rsidR="00E72331" w:rsidRPr="002D3560" w:rsidRDefault="00E72331" w:rsidP="00D75B14">
      <w:pPr>
        <w:pStyle w:val="ListParagraph"/>
        <w:numPr>
          <w:ilvl w:val="0"/>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Quality checks and oversight of risk</w:t>
      </w:r>
    </w:p>
    <w:p w14:paraId="191F7F5A" w14:textId="77777777" w:rsidR="00E72331" w:rsidRPr="002D3560" w:rsidRDefault="00E72331" w:rsidP="00D75B14">
      <w:pPr>
        <w:pStyle w:val="ListParagraph"/>
        <w:numPr>
          <w:ilvl w:val="0"/>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Reporting</w:t>
      </w:r>
    </w:p>
    <w:p w14:paraId="68655D6F" w14:textId="77777777" w:rsidR="00E72331" w:rsidRPr="002D3560" w:rsidRDefault="00E72331" w:rsidP="00D75B14">
      <w:pPr>
        <w:pStyle w:val="ListParagraph"/>
        <w:numPr>
          <w:ilvl w:val="1"/>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 xml:space="preserve">Weekly, monthly reporting for </w:t>
      </w:r>
      <w:r>
        <w:rPr>
          <w:rFonts w:ascii="Calibri" w:hAnsi="Calibri"/>
          <w:sz w:val="22"/>
          <w:szCs w:val="22"/>
        </w:rPr>
        <w:t>subject matter expert (</w:t>
      </w:r>
      <w:r w:rsidRPr="002D3560">
        <w:rPr>
          <w:rFonts w:ascii="Calibri" w:hAnsi="Calibri"/>
          <w:sz w:val="22"/>
          <w:szCs w:val="22"/>
        </w:rPr>
        <w:t>SME</w:t>
      </w:r>
      <w:r>
        <w:rPr>
          <w:rFonts w:ascii="Calibri" w:hAnsi="Calibri"/>
          <w:sz w:val="22"/>
          <w:szCs w:val="22"/>
        </w:rPr>
        <w:t>)</w:t>
      </w:r>
      <w:r w:rsidRPr="002D3560">
        <w:rPr>
          <w:rFonts w:ascii="Calibri" w:hAnsi="Calibri"/>
          <w:sz w:val="22"/>
          <w:szCs w:val="22"/>
        </w:rPr>
        <w:t xml:space="preserve"> area</w:t>
      </w:r>
    </w:p>
    <w:p w14:paraId="13BE5EF1" w14:textId="77777777" w:rsidR="00E72331" w:rsidRPr="002D3560" w:rsidRDefault="00E72331" w:rsidP="00D75B14">
      <w:pPr>
        <w:pStyle w:val="ListParagraph"/>
        <w:numPr>
          <w:ilvl w:val="1"/>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 xml:space="preserve">Statistical analysis, on both a scheduled and ad-hoc basis to support strategic-decision making within the Directorate </w:t>
      </w:r>
      <w:r>
        <w:rPr>
          <w:rFonts w:asciiTheme="minorHAnsi" w:hAnsiTheme="minorHAnsi" w:cstheme="minorHAnsi"/>
          <w:sz w:val="22"/>
          <w:szCs w:val="22"/>
        </w:rPr>
        <w:t>and prosecutorial functions</w:t>
      </w:r>
    </w:p>
    <w:p w14:paraId="094D0172" w14:textId="77777777" w:rsidR="00E72331" w:rsidRPr="002D3560" w:rsidRDefault="00E72331" w:rsidP="00D75B14">
      <w:pPr>
        <w:pStyle w:val="ListParagraph"/>
        <w:numPr>
          <w:ilvl w:val="0"/>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 xml:space="preserve">Business system maintenance and development related to </w:t>
      </w:r>
      <w:r>
        <w:rPr>
          <w:rFonts w:ascii="Calibri" w:hAnsi="Calibri"/>
          <w:sz w:val="22"/>
          <w:szCs w:val="22"/>
        </w:rPr>
        <w:t>subject matter expert (</w:t>
      </w:r>
      <w:r w:rsidRPr="002D3560">
        <w:rPr>
          <w:rFonts w:ascii="Calibri" w:hAnsi="Calibri"/>
          <w:sz w:val="22"/>
          <w:szCs w:val="22"/>
        </w:rPr>
        <w:t>SME</w:t>
      </w:r>
      <w:r>
        <w:rPr>
          <w:rFonts w:ascii="Calibri" w:hAnsi="Calibri"/>
          <w:sz w:val="22"/>
          <w:szCs w:val="22"/>
        </w:rPr>
        <w:t>)</w:t>
      </w:r>
      <w:r w:rsidRPr="002D3560">
        <w:rPr>
          <w:rFonts w:ascii="Calibri" w:hAnsi="Calibri"/>
          <w:sz w:val="22"/>
          <w:szCs w:val="22"/>
        </w:rPr>
        <w:t xml:space="preserve"> area of expertise</w:t>
      </w:r>
    </w:p>
    <w:p w14:paraId="6A3D273C" w14:textId="77777777" w:rsidR="00E72331" w:rsidRPr="002D3560" w:rsidRDefault="00E72331" w:rsidP="00D75B14">
      <w:pPr>
        <w:pStyle w:val="ListParagraph"/>
        <w:numPr>
          <w:ilvl w:val="1"/>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Issue resolution - liaison with ICT Helpdesk; 3rd parties</w:t>
      </w:r>
    </w:p>
    <w:p w14:paraId="47172B2C" w14:textId="77777777" w:rsidR="00E72331" w:rsidRPr="002D3560" w:rsidRDefault="00E72331" w:rsidP="00D75B14">
      <w:pPr>
        <w:pStyle w:val="ListParagraph"/>
        <w:numPr>
          <w:ilvl w:val="1"/>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Analysis and development of business requirements</w:t>
      </w:r>
    </w:p>
    <w:p w14:paraId="5EE012EB" w14:textId="77777777" w:rsidR="00E72331" w:rsidRPr="002D3560" w:rsidRDefault="00E72331" w:rsidP="00D75B14">
      <w:pPr>
        <w:pStyle w:val="ListParagraph"/>
        <w:numPr>
          <w:ilvl w:val="1"/>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Test script development and user acceptance testing</w:t>
      </w:r>
    </w:p>
    <w:p w14:paraId="5542BCB4" w14:textId="25A050D9" w:rsidR="00E72331" w:rsidRDefault="00E72331" w:rsidP="00D75B14">
      <w:pPr>
        <w:pStyle w:val="ListParagraph"/>
        <w:numPr>
          <w:ilvl w:val="1"/>
          <w:numId w:val="9"/>
        </w:numPr>
        <w:tabs>
          <w:tab w:val="left" w:pos="8364"/>
        </w:tabs>
        <w:spacing w:line="360" w:lineRule="auto"/>
        <w:ind w:right="-32"/>
        <w:jc w:val="both"/>
        <w:rPr>
          <w:rFonts w:ascii="Calibri" w:hAnsi="Calibri"/>
          <w:sz w:val="22"/>
          <w:szCs w:val="22"/>
        </w:rPr>
      </w:pPr>
      <w:r w:rsidRPr="002D3560">
        <w:rPr>
          <w:rFonts w:ascii="Calibri" w:hAnsi="Calibri"/>
          <w:sz w:val="22"/>
          <w:szCs w:val="22"/>
        </w:rPr>
        <w:t>Operational implementation of system change with 3rd parties</w:t>
      </w:r>
    </w:p>
    <w:p w14:paraId="124A6B01" w14:textId="77777777" w:rsidR="00051CDC" w:rsidRPr="00051CDC" w:rsidRDefault="00051CDC" w:rsidP="00051CDC">
      <w:pPr>
        <w:tabs>
          <w:tab w:val="left" w:pos="8364"/>
        </w:tabs>
        <w:spacing w:line="360" w:lineRule="auto"/>
        <w:ind w:right="-32"/>
        <w:jc w:val="both"/>
        <w:rPr>
          <w:rFonts w:ascii="Calibri" w:hAnsi="Calibri"/>
          <w:sz w:val="22"/>
          <w:szCs w:val="22"/>
        </w:rPr>
      </w:pPr>
    </w:p>
    <w:p w14:paraId="7C4E1E7A" w14:textId="08E0D6AB" w:rsidR="00E72331" w:rsidRPr="00112DAE" w:rsidRDefault="00E72331" w:rsidP="0001425F">
      <w:pPr>
        <w:spacing w:line="360" w:lineRule="auto"/>
        <w:rPr>
          <w:rFonts w:asciiTheme="minorHAnsi" w:hAnsiTheme="minorHAnsi"/>
          <w:sz w:val="22"/>
          <w:szCs w:val="22"/>
        </w:rPr>
      </w:pPr>
      <w:r w:rsidRPr="00112DAE">
        <w:rPr>
          <w:rFonts w:asciiTheme="minorHAnsi" w:hAnsiTheme="minorHAnsi"/>
          <w:sz w:val="22"/>
          <w:szCs w:val="22"/>
        </w:rPr>
        <w:t xml:space="preserve">Contract management, </w:t>
      </w:r>
      <w:r w:rsidR="00051CDC" w:rsidRPr="00112DAE">
        <w:rPr>
          <w:rFonts w:asciiTheme="minorHAnsi" w:hAnsiTheme="minorHAnsi"/>
          <w:sz w:val="22"/>
          <w:szCs w:val="22"/>
        </w:rPr>
        <w:t>e.g.</w:t>
      </w:r>
      <w:r w:rsidRPr="00112DAE">
        <w:rPr>
          <w:rFonts w:asciiTheme="minorHAnsi" w:hAnsiTheme="minorHAnsi"/>
          <w:sz w:val="22"/>
          <w:szCs w:val="22"/>
        </w:rPr>
        <w:t xml:space="preserve"> oversight </w:t>
      </w:r>
      <w:r>
        <w:rPr>
          <w:rFonts w:asciiTheme="minorHAnsi" w:hAnsiTheme="minorHAnsi"/>
          <w:sz w:val="22"/>
          <w:szCs w:val="22"/>
        </w:rPr>
        <w:t>of service delivery</w:t>
      </w:r>
      <w:r w:rsidR="00051CDC">
        <w:rPr>
          <w:rFonts w:asciiTheme="minorHAnsi" w:hAnsiTheme="minorHAnsi"/>
          <w:sz w:val="22"/>
          <w:szCs w:val="22"/>
        </w:rPr>
        <w:t>:</w:t>
      </w:r>
    </w:p>
    <w:p w14:paraId="5BF42D66" w14:textId="77777777" w:rsidR="00E72331" w:rsidRPr="00112DAE" w:rsidRDefault="00E72331" w:rsidP="0001425F">
      <w:pPr>
        <w:pStyle w:val="ListParagraph"/>
        <w:numPr>
          <w:ilvl w:val="0"/>
          <w:numId w:val="8"/>
        </w:numPr>
        <w:spacing w:line="360" w:lineRule="auto"/>
        <w:rPr>
          <w:rFonts w:asciiTheme="minorHAnsi" w:hAnsiTheme="minorHAnsi"/>
          <w:sz w:val="22"/>
          <w:szCs w:val="22"/>
        </w:rPr>
      </w:pPr>
      <w:r w:rsidRPr="00112DAE">
        <w:rPr>
          <w:rFonts w:asciiTheme="minorHAnsi" w:hAnsiTheme="minorHAnsi"/>
          <w:sz w:val="22"/>
          <w:szCs w:val="22"/>
        </w:rPr>
        <w:t>Service provider oversight – KPIs, delivery, ongoing liaison</w:t>
      </w:r>
    </w:p>
    <w:p w14:paraId="417E7E4B" w14:textId="77777777" w:rsidR="00E72331" w:rsidRPr="00112DAE" w:rsidRDefault="00E72331" w:rsidP="0001425F">
      <w:pPr>
        <w:pStyle w:val="ListParagraph"/>
        <w:numPr>
          <w:ilvl w:val="0"/>
          <w:numId w:val="8"/>
        </w:numPr>
        <w:spacing w:line="360" w:lineRule="auto"/>
        <w:rPr>
          <w:rFonts w:asciiTheme="minorHAnsi" w:hAnsiTheme="minorHAnsi"/>
          <w:sz w:val="22"/>
          <w:szCs w:val="22"/>
        </w:rPr>
      </w:pPr>
      <w:r w:rsidRPr="00112DAE">
        <w:rPr>
          <w:rFonts w:asciiTheme="minorHAnsi" w:hAnsiTheme="minorHAnsi"/>
          <w:sz w:val="22"/>
          <w:szCs w:val="22"/>
        </w:rPr>
        <w:t>Issues and escalation</w:t>
      </w:r>
    </w:p>
    <w:p w14:paraId="2CBFCDBA" w14:textId="77777777" w:rsidR="00E72331" w:rsidRPr="00112DAE" w:rsidRDefault="00E72331" w:rsidP="0001425F">
      <w:pPr>
        <w:pStyle w:val="ListParagraph"/>
        <w:numPr>
          <w:ilvl w:val="0"/>
          <w:numId w:val="8"/>
        </w:numPr>
        <w:spacing w:line="360" w:lineRule="auto"/>
        <w:rPr>
          <w:rFonts w:asciiTheme="minorHAnsi" w:hAnsiTheme="minorHAnsi"/>
          <w:sz w:val="22"/>
          <w:szCs w:val="22"/>
        </w:rPr>
      </w:pPr>
      <w:r w:rsidRPr="00112DAE">
        <w:rPr>
          <w:rFonts w:asciiTheme="minorHAnsi" w:hAnsiTheme="minorHAnsi"/>
          <w:sz w:val="22"/>
          <w:szCs w:val="22"/>
        </w:rPr>
        <w:t>Quality of deliverables -  process;  quality checks, audits</w:t>
      </w:r>
    </w:p>
    <w:p w14:paraId="5544212D" w14:textId="77777777" w:rsidR="00E72331" w:rsidRPr="00112DAE" w:rsidRDefault="00E72331" w:rsidP="0001425F">
      <w:pPr>
        <w:pStyle w:val="ListParagraph"/>
        <w:numPr>
          <w:ilvl w:val="0"/>
          <w:numId w:val="7"/>
        </w:numPr>
        <w:spacing w:line="360" w:lineRule="auto"/>
        <w:rPr>
          <w:rFonts w:asciiTheme="minorHAnsi" w:hAnsiTheme="minorHAnsi"/>
          <w:sz w:val="22"/>
          <w:szCs w:val="22"/>
        </w:rPr>
      </w:pPr>
      <w:r w:rsidRPr="00112DAE">
        <w:rPr>
          <w:rFonts w:asciiTheme="minorHAnsi" w:hAnsiTheme="minorHAnsi"/>
          <w:sz w:val="22"/>
          <w:szCs w:val="22"/>
        </w:rPr>
        <w:t>Reporting and communication; 3</w:t>
      </w:r>
      <w:r w:rsidRPr="00112DAE">
        <w:rPr>
          <w:rFonts w:asciiTheme="minorHAnsi" w:hAnsiTheme="minorHAnsi"/>
          <w:sz w:val="22"/>
          <w:szCs w:val="22"/>
          <w:vertAlign w:val="superscript"/>
        </w:rPr>
        <w:t>rd</w:t>
      </w:r>
      <w:r w:rsidRPr="00112DAE">
        <w:rPr>
          <w:rFonts w:asciiTheme="minorHAnsi" w:hAnsiTheme="minorHAnsi"/>
          <w:sz w:val="22"/>
          <w:szCs w:val="22"/>
        </w:rPr>
        <w:t xml:space="preserve"> party liaison</w:t>
      </w:r>
    </w:p>
    <w:p w14:paraId="31B99590" w14:textId="77777777" w:rsidR="00E72331" w:rsidRPr="002D3560" w:rsidRDefault="00E72331" w:rsidP="00E72331">
      <w:pPr>
        <w:tabs>
          <w:tab w:val="left" w:pos="8364"/>
        </w:tabs>
        <w:spacing w:line="360" w:lineRule="auto"/>
        <w:ind w:right="-32"/>
        <w:jc w:val="both"/>
        <w:rPr>
          <w:rFonts w:ascii="Calibri" w:hAnsi="Calibri"/>
          <w:sz w:val="22"/>
          <w:szCs w:val="22"/>
        </w:rPr>
      </w:pPr>
    </w:p>
    <w:p w14:paraId="37AB8377" w14:textId="2BA6DD07" w:rsidR="00E72331" w:rsidRPr="002D3560" w:rsidRDefault="00E72331" w:rsidP="00E72331">
      <w:pPr>
        <w:tabs>
          <w:tab w:val="left" w:pos="8364"/>
        </w:tabs>
        <w:spacing w:line="360" w:lineRule="auto"/>
        <w:ind w:right="-32"/>
        <w:jc w:val="both"/>
        <w:rPr>
          <w:rFonts w:ascii="Calibri" w:hAnsi="Calibri"/>
          <w:sz w:val="22"/>
          <w:szCs w:val="22"/>
        </w:rPr>
      </w:pPr>
      <w:r w:rsidRPr="002D3560">
        <w:rPr>
          <w:rFonts w:ascii="Calibri" w:hAnsi="Calibri"/>
          <w:sz w:val="22"/>
          <w:szCs w:val="22"/>
        </w:rPr>
        <w:t>Licensing communications</w:t>
      </w:r>
      <w:r w:rsidR="00051CDC">
        <w:rPr>
          <w:rFonts w:ascii="Calibri" w:hAnsi="Calibri"/>
          <w:sz w:val="22"/>
          <w:szCs w:val="22"/>
        </w:rPr>
        <w:t>:</w:t>
      </w:r>
    </w:p>
    <w:p w14:paraId="49DF3104" w14:textId="77777777" w:rsidR="00E72331" w:rsidRPr="002D3560" w:rsidRDefault="00E72331" w:rsidP="00D75B14">
      <w:pPr>
        <w:pStyle w:val="ListParagraph"/>
        <w:numPr>
          <w:ilvl w:val="0"/>
          <w:numId w:val="10"/>
        </w:numPr>
        <w:tabs>
          <w:tab w:val="left" w:pos="8364"/>
        </w:tabs>
        <w:spacing w:line="360" w:lineRule="auto"/>
        <w:ind w:right="-32"/>
        <w:jc w:val="both"/>
        <w:rPr>
          <w:rFonts w:ascii="Calibri" w:hAnsi="Calibri"/>
          <w:sz w:val="22"/>
          <w:szCs w:val="22"/>
        </w:rPr>
      </w:pPr>
      <w:r w:rsidRPr="002D3560">
        <w:rPr>
          <w:rFonts w:ascii="Calibri" w:hAnsi="Calibri"/>
          <w:sz w:val="22"/>
          <w:szCs w:val="22"/>
        </w:rPr>
        <w:t>Preparation of material for reply to FOI &amp; Data Protection requests, representations and Parliamentary Questions, media and other queries within required timeframes</w:t>
      </w:r>
    </w:p>
    <w:p w14:paraId="1268368E" w14:textId="77777777" w:rsidR="00E72331" w:rsidRPr="002D3560" w:rsidRDefault="00E72331" w:rsidP="00D75B14">
      <w:pPr>
        <w:pStyle w:val="ListParagraph"/>
        <w:numPr>
          <w:ilvl w:val="0"/>
          <w:numId w:val="10"/>
        </w:numPr>
        <w:tabs>
          <w:tab w:val="left" w:pos="8364"/>
        </w:tabs>
        <w:spacing w:line="360" w:lineRule="auto"/>
        <w:ind w:right="-32"/>
        <w:jc w:val="both"/>
        <w:rPr>
          <w:rFonts w:ascii="Calibri" w:hAnsi="Calibri"/>
          <w:sz w:val="22"/>
          <w:szCs w:val="22"/>
        </w:rPr>
      </w:pPr>
      <w:r w:rsidRPr="002D3560">
        <w:rPr>
          <w:rFonts w:ascii="Calibri" w:hAnsi="Calibri"/>
          <w:sz w:val="22"/>
          <w:szCs w:val="22"/>
        </w:rPr>
        <w:t>Prepare written responses to queries from industry, consumers</w:t>
      </w:r>
    </w:p>
    <w:p w14:paraId="43019FBB" w14:textId="77777777" w:rsidR="00E72331" w:rsidRPr="002D3560" w:rsidRDefault="00E72331" w:rsidP="00D75B14">
      <w:pPr>
        <w:pStyle w:val="ListParagraph"/>
        <w:numPr>
          <w:ilvl w:val="0"/>
          <w:numId w:val="10"/>
        </w:numPr>
        <w:tabs>
          <w:tab w:val="left" w:pos="8364"/>
        </w:tabs>
        <w:spacing w:line="360" w:lineRule="auto"/>
        <w:ind w:right="-32"/>
        <w:jc w:val="both"/>
        <w:rPr>
          <w:rFonts w:ascii="Calibri" w:hAnsi="Calibri"/>
          <w:sz w:val="22"/>
          <w:szCs w:val="22"/>
        </w:rPr>
      </w:pPr>
      <w:r w:rsidRPr="002D3560">
        <w:rPr>
          <w:rFonts w:ascii="Calibri" w:hAnsi="Calibri"/>
          <w:sz w:val="22"/>
          <w:szCs w:val="22"/>
        </w:rPr>
        <w:t xml:space="preserve">Maintenance of relevant areas of </w:t>
      </w:r>
      <w:r>
        <w:rPr>
          <w:rFonts w:ascii="Calibri" w:hAnsi="Calibri"/>
          <w:sz w:val="22"/>
          <w:szCs w:val="22"/>
        </w:rPr>
        <w:t>Taxi website</w:t>
      </w:r>
    </w:p>
    <w:p w14:paraId="3059A0FA" w14:textId="77777777" w:rsidR="00E72331" w:rsidRPr="002D3560" w:rsidRDefault="00E72331" w:rsidP="00D75B14">
      <w:pPr>
        <w:pStyle w:val="ListParagraph"/>
        <w:numPr>
          <w:ilvl w:val="0"/>
          <w:numId w:val="10"/>
        </w:numPr>
        <w:tabs>
          <w:tab w:val="left" w:pos="8364"/>
        </w:tabs>
        <w:spacing w:line="360" w:lineRule="auto"/>
        <w:ind w:right="-32"/>
        <w:jc w:val="both"/>
        <w:rPr>
          <w:rFonts w:ascii="Calibri" w:hAnsi="Calibri"/>
          <w:sz w:val="22"/>
          <w:szCs w:val="22"/>
        </w:rPr>
      </w:pPr>
      <w:r w:rsidRPr="002D3560">
        <w:rPr>
          <w:rFonts w:ascii="Calibri" w:hAnsi="Calibri"/>
          <w:sz w:val="22"/>
          <w:szCs w:val="22"/>
        </w:rPr>
        <w:t>Licence holder communications – prepare campaigns, draft articles and co-ordinate regular industry newsletter</w:t>
      </w:r>
    </w:p>
    <w:p w14:paraId="79815AB4" w14:textId="77777777" w:rsidR="00E72331" w:rsidRPr="002D3560" w:rsidRDefault="00E72331" w:rsidP="00D75B14">
      <w:pPr>
        <w:pStyle w:val="ListParagraph"/>
        <w:numPr>
          <w:ilvl w:val="0"/>
          <w:numId w:val="10"/>
        </w:numPr>
        <w:tabs>
          <w:tab w:val="left" w:pos="8364"/>
        </w:tabs>
        <w:spacing w:line="360" w:lineRule="auto"/>
        <w:ind w:right="-32"/>
        <w:jc w:val="both"/>
        <w:rPr>
          <w:rFonts w:ascii="Calibri" w:hAnsi="Calibri"/>
          <w:sz w:val="22"/>
          <w:szCs w:val="22"/>
        </w:rPr>
      </w:pPr>
      <w:r w:rsidRPr="002D3560">
        <w:rPr>
          <w:rFonts w:ascii="Calibri" w:hAnsi="Calibri"/>
          <w:sz w:val="22"/>
          <w:szCs w:val="22"/>
        </w:rPr>
        <w:t>Maintain and update Forms and Guides</w:t>
      </w:r>
      <w:r>
        <w:rPr>
          <w:rFonts w:ascii="Calibri" w:hAnsi="Calibri"/>
          <w:sz w:val="22"/>
          <w:szCs w:val="22"/>
        </w:rPr>
        <w:t>;</w:t>
      </w:r>
      <w:r w:rsidRPr="002D3560">
        <w:rPr>
          <w:rFonts w:ascii="Calibri" w:hAnsi="Calibri"/>
          <w:sz w:val="22"/>
          <w:szCs w:val="22"/>
        </w:rPr>
        <w:t xml:space="preserve"> </w:t>
      </w:r>
      <w:r w:rsidRPr="00112DAE">
        <w:rPr>
          <w:rFonts w:asciiTheme="minorHAnsi" w:hAnsiTheme="minorHAnsi"/>
          <w:sz w:val="22"/>
          <w:szCs w:val="22"/>
        </w:rPr>
        <w:t xml:space="preserve">CABS letters in </w:t>
      </w:r>
      <w:r>
        <w:rPr>
          <w:rFonts w:asciiTheme="minorHAnsi" w:hAnsiTheme="minorHAnsi"/>
          <w:sz w:val="22"/>
          <w:szCs w:val="22"/>
        </w:rPr>
        <w:t>subject matter expert (</w:t>
      </w:r>
      <w:r w:rsidRPr="00112DAE">
        <w:rPr>
          <w:rFonts w:asciiTheme="minorHAnsi" w:hAnsiTheme="minorHAnsi"/>
          <w:sz w:val="22"/>
          <w:szCs w:val="22"/>
        </w:rPr>
        <w:t>SME</w:t>
      </w:r>
      <w:r>
        <w:rPr>
          <w:rFonts w:asciiTheme="minorHAnsi" w:hAnsiTheme="minorHAnsi"/>
          <w:sz w:val="22"/>
          <w:szCs w:val="22"/>
        </w:rPr>
        <w:t>)</w:t>
      </w:r>
      <w:r w:rsidRPr="00112DAE">
        <w:rPr>
          <w:rFonts w:asciiTheme="minorHAnsi" w:hAnsiTheme="minorHAnsi"/>
          <w:sz w:val="22"/>
          <w:szCs w:val="22"/>
        </w:rPr>
        <w:t xml:space="preserve"> area</w:t>
      </w:r>
      <w:r w:rsidRPr="002D3560" w:rsidDel="00217FC3">
        <w:rPr>
          <w:rFonts w:ascii="Calibri" w:hAnsi="Calibri"/>
          <w:sz w:val="22"/>
          <w:szCs w:val="22"/>
        </w:rPr>
        <w:t xml:space="preserve"> </w:t>
      </w:r>
    </w:p>
    <w:p w14:paraId="72819AF5" w14:textId="77777777" w:rsidR="00E72331" w:rsidRPr="002D3560" w:rsidRDefault="00E72331" w:rsidP="00D75B14">
      <w:pPr>
        <w:pStyle w:val="ListParagraph"/>
        <w:numPr>
          <w:ilvl w:val="0"/>
          <w:numId w:val="10"/>
        </w:numPr>
        <w:tabs>
          <w:tab w:val="left" w:pos="8364"/>
        </w:tabs>
        <w:spacing w:line="360" w:lineRule="auto"/>
        <w:ind w:right="-32"/>
        <w:jc w:val="both"/>
        <w:rPr>
          <w:rFonts w:ascii="Calibri" w:hAnsi="Calibri"/>
          <w:sz w:val="22"/>
          <w:szCs w:val="22"/>
        </w:rPr>
      </w:pPr>
      <w:r>
        <w:rPr>
          <w:rFonts w:ascii="Calibri" w:hAnsi="Calibri"/>
          <w:sz w:val="22"/>
          <w:szCs w:val="22"/>
        </w:rPr>
        <w:t>Provide administrative s</w:t>
      </w:r>
      <w:r w:rsidRPr="002D3560">
        <w:rPr>
          <w:rFonts w:ascii="Calibri" w:hAnsi="Calibri"/>
          <w:sz w:val="22"/>
          <w:szCs w:val="22"/>
        </w:rPr>
        <w:t>upport for public consultations</w:t>
      </w:r>
    </w:p>
    <w:p w14:paraId="712294AC" w14:textId="77777777" w:rsidR="00E72331" w:rsidRPr="002D3560" w:rsidRDefault="00E72331" w:rsidP="00D75B14">
      <w:pPr>
        <w:pStyle w:val="ListParagraph"/>
        <w:numPr>
          <w:ilvl w:val="0"/>
          <w:numId w:val="10"/>
        </w:numPr>
        <w:tabs>
          <w:tab w:val="left" w:pos="8364"/>
        </w:tabs>
        <w:spacing w:line="360" w:lineRule="auto"/>
        <w:ind w:right="-32"/>
        <w:jc w:val="both"/>
        <w:rPr>
          <w:rFonts w:ascii="Calibri" w:hAnsi="Calibri"/>
          <w:sz w:val="22"/>
          <w:szCs w:val="22"/>
        </w:rPr>
      </w:pPr>
      <w:r w:rsidRPr="002D3560">
        <w:rPr>
          <w:rFonts w:ascii="Calibri" w:hAnsi="Calibri"/>
          <w:sz w:val="22"/>
          <w:szCs w:val="22"/>
        </w:rPr>
        <w:t>Liaison with other NTA departments to ensure responses are issued within given timelines</w:t>
      </w:r>
    </w:p>
    <w:p w14:paraId="56AE8B6F" w14:textId="77777777" w:rsidR="00E72331" w:rsidRPr="002D3560" w:rsidRDefault="00E72331" w:rsidP="00E72331">
      <w:pPr>
        <w:tabs>
          <w:tab w:val="left" w:pos="8364"/>
        </w:tabs>
        <w:spacing w:line="360" w:lineRule="auto"/>
        <w:ind w:right="-32"/>
        <w:jc w:val="both"/>
        <w:rPr>
          <w:rFonts w:ascii="Calibri" w:hAnsi="Calibri"/>
          <w:sz w:val="22"/>
          <w:szCs w:val="22"/>
        </w:rPr>
      </w:pPr>
    </w:p>
    <w:p w14:paraId="01281265" w14:textId="77777777" w:rsidR="00E72331" w:rsidRPr="006727EB" w:rsidRDefault="00E72331" w:rsidP="00E72331">
      <w:pPr>
        <w:jc w:val="both"/>
        <w:rPr>
          <w:rFonts w:ascii="Calibri" w:hAnsi="Calibri" w:cs="Arial"/>
          <w:b/>
          <w:i/>
          <w:sz w:val="22"/>
          <w:szCs w:val="22"/>
          <w:u w:val="single"/>
          <w:lang w:val="en-IE"/>
        </w:rPr>
      </w:pPr>
    </w:p>
    <w:p w14:paraId="2CDFC803" w14:textId="77777777"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2008E366" w14:textId="77777777"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77777777"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4A3BEF">
        <w:rPr>
          <w:rFonts w:asciiTheme="minorHAnsi" w:hAnsiTheme="minorHAnsi" w:cstheme="minorHAnsi"/>
          <w:sz w:val="22"/>
          <w:szCs w:val="22"/>
        </w:rPr>
        <w:t>The functions and responsibilities initially assigned to the position(s) are based on the current organisational requirements and may be changed from time to time. The person(s) appointed require the flexibility to fulfil other roles and responsibilities at a similar level within the Authority.</w:t>
      </w:r>
    </w:p>
    <w:p w14:paraId="7A1CA4CC" w14:textId="10B87ACD"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4A3BEF">
        <w:rPr>
          <w:rFonts w:asciiTheme="minorHAnsi" w:hAnsiTheme="minorHAnsi" w:cstheme="minorHAnsi"/>
          <w:b/>
          <w:bCs/>
          <w:kern w:val="32"/>
          <w:sz w:val="24"/>
          <w:szCs w:val="26"/>
        </w:rPr>
        <w:t>E</w:t>
      </w:r>
      <w:r w:rsidR="00A6561C" w:rsidRPr="004A3BEF">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1A1A630" w14:textId="77777777" w:rsidR="004A3BEF" w:rsidRDefault="004A3BEF" w:rsidP="004A3BEF">
      <w:pPr>
        <w:spacing w:after="120" w:line="360" w:lineRule="auto"/>
        <w:ind w:right="-34"/>
        <w:jc w:val="both"/>
        <w:rPr>
          <w:rFonts w:asciiTheme="minorHAnsi" w:hAnsiTheme="minorHAnsi" w:cstheme="minorHAnsi"/>
          <w:b/>
          <w:color w:val="000000" w:themeColor="text1"/>
          <w:sz w:val="22"/>
          <w:szCs w:val="22"/>
        </w:rPr>
      </w:pPr>
    </w:p>
    <w:p w14:paraId="5E6ED5AF" w14:textId="07A8CBDE" w:rsidR="004A3BEF" w:rsidRPr="00AF63E8" w:rsidRDefault="004A3BEF" w:rsidP="004A3BEF">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5D087709" w14:textId="77777777" w:rsidR="004A3BEF" w:rsidRPr="002D3560" w:rsidRDefault="004A3BEF" w:rsidP="00D75B14">
      <w:pPr>
        <w:numPr>
          <w:ilvl w:val="0"/>
          <w:numId w:val="11"/>
        </w:numPr>
        <w:tabs>
          <w:tab w:val="left" w:pos="8364"/>
        </w:tabs>
        <w:spacing w:line="360" w:lineRule="auto"/>
        <w:ind w:right="-32"/>
        <w:rPr>
          <w:rFonts w:asciiTheme="minorHAnsi" w:hAnsiTheme="minorHAnsi" w:cstheme="minorHAnsi"/>
          <w:color w:val="000000" w:themeColor="text1"/>
          <w:sz w:val="22"/>
          <w:szCs w:val="22"/>
        </w:rPr>
      </w:pPr>
      <w:r w:rsidRPr="002D3560">
        <w:rPr>
          <w:rFonts w:asciiTheme="minorHAnsi" w:hAnsiTheme="minorHAnsi" w:cstheme="minorHAnsi"/>
          <w:color w:val="000000" w:themeColor="text1"/>
          <w:sz w:val="22"/>
          <w:szCs w:val="22"/>
        </w:rPr>
        <w:t xml:space="preserve">Hold a minimum of an NFQ level </w:t>
      </w:r>
      <w:r>
        <w:rPr>
          <w:rFonts w:asciiTheme="minorHAnsi" w:hAnsiTheme="minorHAnsi" w:cstheme="minorHAnsi"/>
          <w:color w:val="000000" w:themeColor="text1"/>
          <w:sz w:val="22"/>
          <w:szCs w:val="22"/>
        </w:rPr>
        <w:t>7</w:t>
      </w:r>
      <w:r w:rsidRPr="002D3560">
        <w:rPr>
          <w:rFonts w:asciiTheme="minorHAnsi" w:hAnsiTheme="minorHAnsi" w:cstheme="minorHAnsi"/>
          <w:color w:val="000000" w:themeColor="text1"/>
          <w:sz w:val="22"/>
          <w:szCs w:val="22"/>
        </w:rPr>
        <w:t xml:space="preserve"> qualification in a relevant discipline, being information technology, business, law, economics or similar;</w:t>
      </w:r>
    </w:p>
    <w:p w14:paraId="28CB73A8" w14:textId="77777777" w:rsidR="004A3BEF" w:rsidRPr="002D3560" w:rsidRDefault="004A3BEF" w:rsidP="00D75B14">
      <w:pPr>
        <w:numPr>
          <w:ilvl w:val="0"/>
          <w:numId w:val="11"/>
        </w:numPr>
        <w:tabs>
          <w:tab w:val="left" w:pos="8364"/>
        </w:tabs>
        <w:spacing w:line="360" w:lineRule="auto"/>
        <w:ind w:right="-32"/>
        <w:rPr>
          <w:rFonts w:asciiTheme="minorHAnsi" w:hAnsiTheme="minorHAnsi" w:cstheme="minorHAnsi"/>
          <w:color w:val="000000" w:themeColor="text1"/>
          <w:sz w:val="22"/>
          <w:szCs w:val="22"/>
        </w:rPr>
      </w:pPr>
      <w:r w:rsidRPr="002D3560">
        <w:rPr>
          <w:rFonts w:asciiTheme="minorHAnsi" w:hAnsiTheme="minorHAnsi" w:cstheme="minorHAnsi"/>
          <w:color w:val="000000" w:themeColor="text1"/>
          <w:sz w:val="22"/>
          <w:szCs w:val="22"/>
        </w:rPr>
        <w:t xml:space="preserve">Have a minimum of 5 years’ </w:t>
      </w:r>
      <w:r>
        <w:rPr>
          <w:rFonts w:asciiTheme="minorHAnsi" w:hAnsiTheme="minorHAnsi" w:cstheme="minorHAnsi"/>
          <w:color w:val="000000" w:themeColor="text1"/>
          <w:sz w:val="22"/>
          <w:szCs w:val="22"/>
        </w:rPr>
        <w:t xml:space="preserve">recent </w:t>
      </w:r>
      <w:r w:rsidRPr="002D3560">
        <w:rPr>
          <w:rFonts w:asciiTheme="minorHAnsi" w:hAnsiTheme="minorHAnsi" w:cstheme="minorHAnsi"/>
          <w:color w:val="000000" w:themeColor="text1"/>
          <w:sz w:val="22"/>
          <w:szCs w:val="22"/>
        </w:rPr>
        <w:t>satisfactory experience in a relevant field with 2 years’ experience managing people or projects, including experience in the following areas:</w:t>
      </w:r>
    </w:p>
    <w:p w14:paraId="2020B047" w14:textId="77777777" w:rsidR="004A3BEF" w:rsidRPr="002D3560" w:rsidRDefault="004A3BEF" w:rsidP="00D75B14">
      <w:pPr>
        <w:numPr>
          <w:ilvl w:val="1"/>
          <w:numId w:val="12"/>
        </w:numPr>
        <w:tabs>
          <w:tab w:val="left" w:pos="8364"/>
        </w:tabs>
        <w:spacing w:line="360" w:lineRule="auto"/>
        <w:ind w:right="-32"/>
        <w:rPr>
          <w:rFonts w:asciiTheme="minorHAnsi" w:hAnsiTheme="minorHAnsi" w:cstheme="minorHAnsi"/>
          <w:color w:val="000000" w:themeColor="text1"/>
          <w:sz w:val="22"/>
          <w:szCs w:val="22"/>
        </w:rPr>
      </w:pPr>
      <w:r w:rsidRPr="002D3560">
        <w:rPr>
          <w:rFonts w:asciiTheme="minorHAnsi" w:hAnsiTheme="minorHAnsi" w:cstheme="minorHAnsi"/>
          <w:color w:val="000000" w:themeColor="text1"/>
          <w:sz w:val="22"/>
          <w:szCs w:val="22"/>
        </w:rPr>
        <w:t xml:space="preserve">Analysing data and preparing reports for management; </w:t>
      </w:r>
    </w:p>
    <w:p w14:paraId="211748C5" w14:textId="77777777" w:rsidR="004A3BEF" w:rsidRPr="002D3560" w:rsidRDefault="004A3BEF" w:rsidP="00D75B14">
      <w:pPr>
        <w:numPr>
          <w:ilvl w:val="1"/>
          <w:numId w:val="12"/>
        </w:numPr>
        <w:tabs>
          <w:tab w:val="left" w:pos="8364"/>
        </w:tabs>
        <w:spacing w:line="360" w:lineRule="auto"/>
        <w:ind w:right="-32"/>
        <w:rPr>
          <w:rFonts w:asciiTheme="minorHAnsi" w:hAnsiTheme="minorHAnsi" w:cstheme="minorHAnsi"/>
          <w:color w:val="000000" w:themeColor="text1"/>
          <w:sz w:val="22"/>
          <w:szCs w:val="22"/>
        </w:rPr>
      </w:pPr>
      <w:r w:rsidRPr="002D3560">
        <w:rPr>
          <w:rFonts w:asciiTheme="minorHAnsi" w:hAnsiTheme="minorHAnsi" w:cstheme="minorHAnsi"/>
          <w:color w:val="000000" w:themeColor="text1"/>
          <w:sz w:val="22"/>
          <w:szCs w:val="22"/>
        </w:rPr>
        <w:t xml:space="preserve">Developing, documenting and maintaining relevant process and information documents; </w:t>
      </w:r>
    </w:p>
    <w:p w14:paraId="154F7128" w14:textId="77777777" w:rsidR="004A3BEF" w:rsidRDefault="004A3BEF" w:rsidP="00D75B14">
      <w:pPr>
        <w:numPr>
          <w:ilvl w:val="1"/>
          <w:numId w:val="12"/>
        </w:numPr>
        <w:tabs>
          <w:tab w:val="left" w:pos="8364"/>
        </w:tabs>
        <w:spacing w:line="360" w:lineRule="auto"/>
        <w:ind w:right="-32"/>
        <w:rPr>
          <w:rFonts w:asciiTheme="minorHAnsi" w:hAnsiTheme="minorHAnsi" w:cstheme="minorHAnsi"/>
          <w:color w:val="000000" w:themeColor="text1"/>
          <w:sz w:val="22"/>
          <w:szCs w:val="22"/>
        </w:rPr>
      </w:pPr>
      <w:r w:rsidRPr="002D3560">
        <w:rPr>
          <w:rFonts w:asciiTheme="minorHAnsi" w:hAnsiTheme="minorHAnsi" w:cstheme="minorHAnsi"/>
          <w:color w:val="000000" w:themeColor="text1"/>
          <w:sz w:val="22"/>
          <w:szCs w:val="22"/>
        </w:rPr>
        <w:t xml:space="preserve">Complaint handling to include preliminary review, collation of additional information, investigation and conclusion within prescribed timeframe; </w:t>
      </w:r>
    </w:p>
    <w:p w14:paraId="6724CC00" w14:textId="14DC54B2" w:rsidR="004A3BEF" w:rsidRPr="004A3BEF" w:rsidRDefault="004A3BEF" w:rsidP="00D75B14">
      <w:pPr>
        <w:pStyle w:val="ListParagraph"/>
        <w:numPr>
          <w:ilvl w:val="1"/>
          <w:numId w:val="12"/>
        </w:numPr>
        <w:tabs>
          <w:tab w:val="left" w:pos="8364"/>
        </w:tabs>
        <w:spacing w:line="360" w:lineRule="auto"/>
        <w:ind w:right="-32"/>
        <w:rPr>
          <w:rFonts w:asciiTheme="minorHAnsi" w:hAnsiTheme="minorHAnsi" w:cstheme="minorHAnsi"/>
          <w:color w:val="000000" w:themeColor="text1"/>
          <w:sz w:val="22"/>
          <w:szCs w:val="22"/>
        </w:rPr>
      </w:pPr>
      <w:r w:rsidRPr="00112DAE">
        <w:rPr>
          <w:rFonts w:asciiTheme="minorHAnsi" w:hAnsiTheme="minorHAnsi" w:cstheme="minorHAnsi"/>
          <w:sz w:val="22"/>
          <w:szCs w:val="22"/>
        </w:rPr>
        <w:t>Oversee service delivery e.g. daily, weekly,</w:t>
      </w:r>
      <w:r w:rsidRPr="00F135BA">
        <w:rPr>
          <w:rFonts w:asciiTheme="minorHAnsi" w:hAnsiTheme="minorHAnsi" w:cstheme="minorHAnsi"/>
          <w:sz w:val="22"/>
          <w:szCs w:val="22"/>
        </w:rPr>
        <w:t xml:space="preserve"> monthly communications and reporting across suppliers and review of associated budgets; </w:t>
      </w:r>
    </w:p>
    <w:p w14:paraId="09B3146A" w14:textId="77777777" w:rsidR="004A3BEF" w:rsidRPr="009E0171" w:rsidRDefault="004A3BEF" w:rsidP="00D75B14">
      <w:pPr>
        <w:pStyle w:val="ListParagraph"/>
        <w:numPr>
          <w:ilvl w:val="0"/>
          <w:numId w:val="11"/>
        </w:numPr>
        <w:tabs>
          <w:tab w:val="left" w:pos="8364"/>
        </w:tabs>
        <w:spacing w:line="360" w:lineRule="auto"/>
        <w:ind w:right="-3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Have a p</w:t>
      </w:r>
      <w:r w:rsidRPr="000E494C">
        <w:rPr>
          <w:rFonts w:asciiTheme="minorHAnsi" w:hAnsiTheme="minorHAnsi" w:cstheme="minorHAnsi"/>
          <w:color w:val="000000" w:themeColor="text1"/>
          <w:sz w:val="22"/>
          <w:szCs w:val="22"/>
        </w:rPr>
        <w:t xml:space="preserve">roven track record in </w:t>
      </w:r>
      <w:r>
        <w:rPr>
          <w:rFonts w:asciiTheme="minorHAnsi" w:hAnsiTheme="minorHAnsi" w:cstheme="minorHAnsi"/>
          <w:color w:val="000000" w:themeColor="text1"/>
          <w:sz w:val="22"/>
          <w:szCs w:val="22"/>
        </w:rPr>
        <w:t xml:space="preserve">service </w:t>
      </w:r>
      <w:r w:rsidRPr="000E494C">
        <w:rPr>
          <w:rFonts w:asciiTheme="minorHAnsi" w:hAnsiTheme="minorHAnsi" w:cstheme="minorHAnsi"/>
          <w:color w:val="000000" w:themeColor="text1"/>
          <w:sz w:val="22"/>
          <w:szCs w:val="22"/>
        </w:rPr>
        <w:t>delivery</w:t>
      </w:r>
      <w:r>
        <w:rPr>
          <w:rFonts w:asciiTheme="minorHAnsi" w:hAnsiTheme="minorHAnsi" w:cstheme="minorHAnsi"/>
          <w:color w:val="000000" w:themeColor="text1"/>
          <w:sz w:val="22"/>
          <w:szCs w:val="22"/>
        </w:rPr>
        <w:t>;</w:t>
      </w:r>
    </w:p>
    <w:p w14:paraId="3622D603" w14:textId="77777777" w:rsidR="004A3BEF" w:rsidRDefault="004A3BEF" w:rsidP="00D75B14">
      <w:pPr>
        <w:pStyle w:val="ListParagraph"/>
        <w:numPr>
          <w:ilvl w:val="0"/>
          <w:numId w:val="11"/>
        </w:numPr>
        <w:tabs>
          <w:tab w:val="left" w:pos="8364"/>
        </w:tabs>
        <w:spacing w:line="360" w:lineRule="auto"/>
        <w:ind w:right="-32"/>
        <w:rPr>
          <w:rFonts w:asciiTheme="minorHAnsi" w:hAnsiTheme="minorHAnsi" w:cstheme="minorHAnsi"/>
          <w:color w:val="000000" w:themeColor="text1"/>
          <w:sz w:val="22"/>
          <w:szCs w:val="22"/>
        </w:rPr>
      </w:pPr>
      <w:r w:rsidRPr="009E0171">
        <w:rPr>
          <w:rFonts w:asciiTheme="minorHAnsi" w:hAnsiTheme="minorHAnsi" w:cstheme="minorHAnsi"/>
          <w:color w:val="000000" w:themeColor="text1"/>
          <w:sz w:val="22"/>
          <w:szCs w:val="22"/>
        </w:rPr>
        <w:t xml:space="preserve">Have </w:t>
      </w:r>
      <w:r>
        <w:rPr>
          <w:rFonts w:asciiTheme="minorHAnsi" w:hAnsiTheme="minorHAnsi" w:cstheme="minorHAnsi"/>
          <w:color w:val="000000" w:themeColor="text1"/>
          <w:sz w:val="22"/>
          <w:szCs w:val="22"/>
        </w:rPr>
        <w:t>e</w:t>
      </w:r>
      <w:r w:rsidRPr="000E494C">
        <w:rPr>
          <w:rFonts w:asciiTheme="minorHAnsi" w:hAnsiTheme="minorHAnsi" w:cstheme="minorHAnsi"/>
          <w:color w:val="000000" w:themeColor="text1"/>
          <w:sz w:val="22"/>
          <w:szCs w:val="22"/>
        </w:rPr>
        <w:t>xcellent written and verbal communication and interpersonal skills</w:t>
      </w:r>
      <w:r>
        <w:rPr>
          <w:rFonts w:asciiTheme="minorHAnsi" w:hAnsiTheme="minorHAnsi" w:cstheme="minorHAnsi"/>
          <w:color w:val="000000" w:themeColor="text1"/>
          <w:sz w:val="22"/>
          <w:szCs w:val="22"/>
        </w:rPr>
        <w:t>;</w:t>
      </w:r>
    </w:p>
    <w:p w14:paraId="71791112" w14:textId="77777777" w:rsidR="004A3BEF" w:rsidRPr="009E0171" w:rsidRDefault="004A3BEF" w:rsidP="00D75B14">
      <w:pPr>
        <w:pStyle w:val="ListParagraph"/>
        <w:numPr>
          <w:ilvl w:val="0"/>
          <w:numId w:val="11"/>
        </w:numPr>
        <w:tabs>
          <w:tab w:val="left" w:pos="8364"/>
        </w:tabs>
        <w:spacing w:line="360" w:lineRule="auto"/>
        <w:ind w:right="-32"/>
        <w:rPr>
          <w:rFonts w:asciiTheme="minorHAnsi" w:hAnsiTheme="minorHAnsi" w:cstheme="minorHAnsi"/>
          <w:color w:val="000000" w:themeColor="text1"/>
          <w:sz w:val="22"/>
          <w:szCs w:val="22"/>
        </w:rPr>
      </w:pPr>
      <w:r w:rsidRPr="009E0171">
        <w:rPr>
          <w:rFonts w:asciiTheme="minorHAnsi" w:hAnsiTheme="minorHAnsi" w:cstheme="minorHAnsi"/>
          <w:color w:val="000000" w:themeColor="text1"/>
          <w:sz w:val="22"/>
          <w:szCs w:val="22"/>
        </w:rPr>
        <w:t>Be able to work at a detailed level whilst being able to extract ideas for communication to senior management</w:t>
      </w:r>
      <w:r>
        <w:rPr>
          <w:rFonts w:asciiTheme="minorHAnsi" w:hAnsiTheme="minorHAnsi" w:cstheme="minorHAnsi"/>
          <w:color w:val="000000" w:themeColor="text1"/>
          <w:sz w:val="22"/>
          <w:szCs w:val="22"/>
        </w:rPr>
        <w:t>;</w:t>
      </w:r>
    </w:p>
    <w:p w14:paraId="4C90D387" w14:textId="77777777" w:rsidR="004A3BEF" w:rsidRPr="009E0171" w:rsidRDefault="004A3BEF" w:rsidP="00D75B14">
      <w:pPr>
        <w:pStyle w:val="ListParagraph"/>
        <w:numPr>
          <w:ilvl w:val="0"/>
          <w:numId w:val="11"/>
        </w:numPr>
        <w:tabs>
          <w:tab w:val="left" w:pos="8364"/>
        </w:tabs>
        <w:spacing w:line="360" w:lineRule="auto"/>
        <w:ind w:right="-3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Have k</w:t>
      </w:r>
      <w:r w:rsidRPr="009E0171">
        <w:rPr>
          <w:rFonts w:asciiTheme="minorHAnsi" w:hAnsiTheme="minorHAnsi" w:cstheme="minorHAnsi"/>
          <w:color w:val="000000" w:themeColor="text1"/>
          <w:sz w:val="22"/>
          <w:szCs w:val="22"/>
        </w:rPr>
        <w:t>nowledge of business analysis methodologies</w:t>
      </w:r>
      <w:r>
        <w:rPr>
          <w:rFonts w:asciiTheme="minorHAnsi" w:hAnsiTheme="minorHAnsi" w:cstheme="minorHAnsi"/>
          <w:color w:val="000000" w:themeColor="text1"/>
          <w:sz w:val="22"/>
          <w:szCs w:val="22"/>
        </w:rPr>
        <w:t>;</w:t>
      </w:r>
      <w:r w:rsidRPr="009E01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and</w:t>
      </w:r>
    </w:p>
    <w:p w14:paraId="6B0FC2C6" w14:textId="215ED199" w:rsidR="004A3BEF" w:rsidRDefault="004A3BEF" w:rsidP="00D75B14">
      <w:pPr>
        <w:numPr>
          <w:ilvl w:val="0"/>
          <w:numId w:val="11"/>
        </w:numPr>
        <w:tabs>
          <w:tab w:val="left" w:pos="8364"/>
        </w:tabs>
        <w:spacing w:line="360" w:lineRule="auto"/>
        <w:ind w:right="-32"/>
        <w:rPr>
          <w:rFonts w:asciiTheme="minorHAnsi" w:hAnsiTheme="minorHAnsi" w:cstheme="minorHAnsi"/>
          <w:color w:val="000000" w:themeColor="text1"/>
          <w:sz w:val="22"/>
          <w:szCs w:val="22"/>
        </w:rPr>
      </w:pPr>
      <w:r w:rsidRPr="00205EA0">
        <w:rPr>
          <w:rFonts w:asciiTheme="minorHAnsi" w:hAnsiTheme="minorHAnsi" w:cstheme="minorHAnsi"/>
          <w:color w:val="000000" w:themeColor="text1"/>
          <w:sz w:val="22"/>
          <w:szCs w:val="22"/>
        </w:rPr>
        <w:t>Be skilled in the use of MS office applications – Excel, PowerPoint, Outlook, and Publisher</w:t>
      </w:r>
      <w:r w:rsidR="00051CDC">
        <w:rPr>
          <w:rFonts w:asciiTheme="minorHAnsi" w:hAnsiTheme="minorHAnsi" w:cstheme="minorHAnsi"/>
          <w:color w:val="000000" w:themeColor="text1"/>
          <w:sz w:val="22"/>
          <w:szCs w:val="22"/>
        </w:rPr>
        <w:t>.</w:t>
      </w:r>
    </w:p>
    <w:p w14:paraId="1A600CE2" w14:textId="28B2286C"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4A3BEF">
        <w:rPr>
          <w:rFonts w:asciiTheme="minorHAnsi" w:hAnsiTheme="minorHAnsi" w:cstheme="minorHAnsi"/>
          <w:b/>
          <w:color w:val="000000" w:themeColor="text1"/>
          <w:sz w:val="24"/>
          <w:szCs w:val="26"/>
        </w:rPr>
        <w:t>D</w:t>
      </w:r>
      <w:r w:rsidR="00A6561C" w:rsidRPr="004A3BEF">
        <w:rPr>
          <w:rFonts w:asciiTheme="minorHAnsi" w:hAnsiTheme="minorHAnsi" w:cstheme="minorHAnsi"/>
          <w:b/>
          <w:color w:val="000000" w:themeColor="text1"/>
          <w:sz w:val="24"/>
          <w:szCs w:val="26"/>
        </w:rPr>
        <w:t xml:space="preserve">esirable </w:t>
      </w:r>
      <w:r w:rsidR="00A47731" w:rsidRPr="004A3BEF">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8F9760C" w14:textId="4C9535EB" w:rsidR="004A3BEF" w:rsidRDefault="00B7768C" w:rsidP="004A3BEF">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r w:rsidR="004A3BEF" w:rsidRPr="004A3BEF">
        <w:rPr>
          <w:rFonts w:asciiTheme="minorHAnsi" w:hAnsiTheme="minorHAnsi" w:cstheme="minorHAnsi"/>
          <w:sz w:val="22"/>
          <w:szCs w:val="22"/>
        </w:rPr>
        <w:t xml:space="preserve"> </w:t>
      </w:r>
    </w:p>
    <w:p w14:paraId="253285D9" w14:textId="77777777" w:rsidR="004A3BEF" w:rsidRPr="009E0171" w:rsidRDefault="004A3BEF" w:rsidP="00D75B14">
      <w:pPr>
        <w:pStyle w:val="ListParagraph"/>
        <w:numPr>
          <w:ilvl w:val="0"/>
          <w:numId w:val="11"/>
        </w:numPr>
        <w:tabs>
          <w:tab w:val="left" w:pos="8364"/>
        </w:tabs>
        <w:spacing w:line="360" w:lineRule="auto"/>
        <w:ind w:right="-32"/>
        <w:jc w:val="both"/>
        <w:rPr>
          <w:rFonts w:ascii="Calibri" w:hAnsi="Calibri"/>
          <w:sz w:val="22"/>
          <w:lang w:val="en-IE"/>
        </w:rPr>
      </w:pPr>
      <w:r>
        <w:rPr>
          <w:rFonts w:asciiTheme="minorHAnsi" w:hAnsiTheme="minorHAnsi" w:cstheme="minorHAnsi"/>
          <w:sz w:val="22"/>
          <w:szCs w:val="22"/>
        </w:rPr>
        <w:t>Have</w:t>
      </w:r>
      <w:r w:rsidRPr="009E0171">
        <w:rPr>
          <w:rFonts w:asciiTheme="minorHAnsi" w:hAnsiTheme="minorHAnsi" w:cstheme="minorHAnsi"/>
          <w:sz w:val="22"/>
          <w:szCs w:val="22"/>
        </w:rPr>
        <w:t xml:space="preserve"> experience of working within a regulatory/licensing/compliance function or similar;</w:t>
      </w:r>
    </w:p>
    <w:p w14:paraId="1E45A75B" w14:textId="77777777" w:rsidR="004A3BEF" w:rsidRDefault="004A3BEF" w:rsidP="00D75B14">
      <w:pPr>
        <w:pStyle w:val="ListParagraph"/>
        <w:numPr>
          <w:ilvl w:val="0"/>
          <w:numId w:val="11"/>
        </w:numPr>
        <w:tabs>
          <w:tab w:val="left" w:pos="8364"/>
        </w:tabs>
        <w:spacing w:line="360" w:lineRule="auto"/>
        <w:ind w:right="-32"/>
        <w:jc w:val="both"/>
        <w:rPr>
          <w:rFonts w:ascii="Calibri" w:hAnsi="Calibri"/>
          <w:sz w:val="22"/>
          <w:lang w:val="en-IE"/>
        </w:rPr>
      </w:pPr>
      <w:r w:rsidRPr="009E0171">
        <w:rPr>
          <w:rFonts w:ascii="Calibri" w:hAnsi="Calibri"/>
          <w:sz w:val="22"/>
          <w:lang w:val="en-IE"/>
        </w:rPr>
        <w:t xml:space="preserve">Have </w:t>
      </w:r>
      <w:r w:rsidRPr="009E0171">
        <w:rPr>
          <w:rFonts w:asciiTheme="minorHAnsi" w:hAnsiTheme="minorHAnsi" w:cstheme="minorHAnsi"/>
          <w:sz w:val="22"/>
          <w:szCs w:val="22"/>
        </w:rPr>
        <w:t xml:space="preserve">experience </w:t>
      </w:r>
      <w:r>
        <w:rPr>
          <w:rFonts w:asciiTheme="minorHAnsi" w:hAnsiTheme="minorHAnsi" w:cstheme="minorHAnsi"/>
          <w:sz w:val="22"/>
          <w:szCs w:val="22"/>
        </w:rPr>
        <w:t xml:space="preserve">in </w:t>
      </w:r>
      <w:r w:rsidRPr="009E0171">
        <w:rPr>
          <w:rFonts w:ascii="Calibri" w:hAnsi="Calibri"/>
          <w:sz w:val="22"/>
          <w:lang w:val="en-IE"/>
        </w:rPr>
        <w:t>legislation and processes relating to both Freedom of Information and Data Protection;</w:t>
      </w:r>
    </w:p>
    <w:p w14:paraId="71321982" w14:textId="77777777" w:rsidR="004A3BEF" w:rsidRPr="009E0171" w:rsidRDefault="004A3BEF" w:rsidP="00D75B14">
      <w:pPr>
        <w:pStyle w:val="ListParagraph"/>
        <w:numPr>
          <w:ilvl w:val="0"/>
          <w:numId w:val="11"/>
        </w:numPr>
        <w:tabs>
          <w:tab w:val="left" w:pos="8364"/>
        </w:tabs>
        <w:spacing w:line="360" w:lineRule="auto"/>
        <w:ind w:right="-32"/>
        <w:jc w:val="both"/>
        <w:rPr>
          <w:rFonts w:ascii="Calibri" w:hAnsi="Calibri"/>
          <w:sz w:val="22"/>
          <w:lang w:val="en-IE"/>
        </w:rPr>
      </w:pPr>
      <w:r w:rsidRPr="009E0171">
        <w:rPr>
          <w:rFonts w:ascii="Calibri" w:hAnsi="Calibri"/>
          <w:sz w:val="22"/>
          <w:lang w:val="en-IE"/>
        </w:rPr>
        <w:lastRenderedPageBreak/>
        <w:t>Demonstrate an ability to monitor performance of IT systems with a view to identifying issues and potential improvements and assist with user acceptance testing;</w:t>
      </w:r>
    </w:p>
    <w:p w14:paraId="2A098D0F" w14:textId="77777777" w:rsidR="004A3BEF" w:rsidRPr="009E0171" w:rsidRDefault="004A3BEF" w:rsidP="00D75B14">
      <w:pPr>
        <w:pStyle w:val="ListParagraph"/>
        <w:numPr>
          <w:ilvl w:val="0"/>
          <w:numId w:val="11"/>
        </w:numPr>
        <w:tabs>
          <w:tab w:val="left" w:pos="8364"/>
        </w:tabs>
        <w:spacing w:line="360" w:lineRule="auto"/>
        <w:ind w:right="-32"/>
        <w:jc w:val="both"/>
        <w:rPr>
          <w:rFonts w:ascii="Calibri" w:hAnsi="Calibri"/>
          <w:sz w:val="22"/>
          <w:lang w:val="en-IE"/>
        </w:rPr>
      </w:pPr>
      <w:r>
        <w:rPr>
          <w:rFonts w:ascii="Calibri" w:hAnsi="Calibri"/>
          <w:sz w:val="22"/>
          <w:lang w:val="en-IE"/>
        </w:rPr>
        <w:t>Have</w:t>
      </w:r>
      <w:r w:rsidRPr="009E0171">
        <w:rPr>
          <w:rFonts w:ascii="Calibri" w:hAnsi="Calibri"/>
          <w:sz w:val="22"/>
          <w:lang w:val="en-IE"/>
        </w:rPr>
        <w:t xml:space="preserve"> </w:t>
      </w:r>
      <w:r>
        <w:rPr>
          <w:rFonts w:ascii="Calibri" w:hAnsi="Calibri"/>
          <w:sz w:val="22"/>
          <w:lang w:val="en-IE"/>
        </w:rPr>
        <w:t>experience</w:t>
      </w:r>
      <w:r w:rsidRPr="009E0171">
        <w:rPr>
          <w:rFonts w:ascii="Calibri" w:hAnsi="Calibri"/>
          <w:sz w:val="22"/>
          <w:lang w:val="en-IE"/>
        </w:rPr>
        <w:t xml:space="preserve"> </w:t>
      </w:r>
      <w:r>
        <w:rPr>
          <w:rFonts w:ascii="Calibri" w:hAnsi="Calibri"/>
          <w:sz w:val="22"/>
          <w:lang w:val="en-IE"/>
        </w:rPr>
        <w:t>in</w:t>
      </w:r>
      <w:r w:rsidRPr="009E0171">
        <w:rPr>
          <w:rFonts w:ascii="Calibri" w:hAnsi="Calibri"/>
          <w:sz w:val="22"/>
          <w:lang w:val="en-IE"/>
        </w:rPr>
        <w:t xml:space="preserve"> public transport policy and transport regulation in Ireland; and</w:t>
      </w:r>
    </w:p>
    <w:p w14:paraId="4B75439A" w14:textId="77777777" w:rsidR="004A3BEF" w:rsidRDefault="004A3BEF" w:rsidP="00D75B14">
      <w:pPr>
        <w:pStyle w:val="ListParagraph"/>
        <w:numPr>
          <w:ilvl w:val="0"/>
          <w:numId w:val="11"/>
        </w:numPr>
        <w:tabs>
          <w:tab w:val="left" w:pos="8364"/>
        </w:tabs>
        <w:spacing w:line="360" w:lineRule="auto"/>
        <w:ind w:right="-32"/>
        <w:jc w:val="both"/>
        <w:rPr>
          <w:rFonts w:ascii="Calibri" w:hAnsi="Calibri"/>
          <w:sz w:val="22"/>
          <w:lang w:val="en-IE"/>
        </w:rPr>
      </w:pPr>
      <w:r>
        <w:rPr>
          <w:rFonts w:ascii="Calibri" w:hAnsi="Calibri"/>
          <w:sz w:val="22"/>
          <w:lang w:val="en-IE"/>
        </w:rPr>
        <w:t>Have</w:t>
      </w:r>
      <w:r w:rsidRPr="009E0171">
        <w:rPr>
          <w:rFonts w:ascii="Calibri" w:hAnsi="Calibri"/>
          <w:sz w:val="22"/>
          <w:lang w:val="en-IE"/>
        </w:rPr>
        <w:t xml:space="preserve"> </w:t>
      </w:r>
      <w:r>
        <w:rPr>
          <w:rFonts w:ascii="Calibri" w:hAnsi="Calibri"/>
          <w:sz w:val="22"/>
          <w:lang w:val="en-IE"/>
        </w:rPr>
        <w:t xml:space="preserve">experience in </w:t>
      </w:r>
      <w:r w:rsidRPr="009E0171">
        <w:rPr>
          <w:rFonts w:ascii="Calibri" w:hAnsi="Calibri"/>
          <w:sz w:val="22"/>
          <w:lang w:val="en-IE"/>
        </w:rPr>
        <w:t>public sector procurement policies and practice.</w:t>
      </w:r>
    </w:p>
    <w:p w14:paraId="6CAF4BE6" w14:textId="77777777" w:rsidR="004A3BEF" w:rsidRPr="002D3560" w:rsidRDefault="004A3BEF" w:rsidP="004A3BEF">
      <w:pPr>
        <w:spacing w:line="360" w:lineRule="auto"/>
        <w:jc w:val="both"/>
        <w:rPr>
          <w:rFonts w:asciiTheme="minorHAnsi" w:hAnsiTheme="minorHAnsi" w:cstheme="minorHAnsi"/>
          <w:sz w:val="22"/>
          <w:szCs w:val="22"/>
        </w:rPr>
      </w:pPr>
    </w:p>
    <w:p w14:paraId="1BFFB868" w14:textId="77777777" w:rsidR="004A3BEF" w:rsidRPr="002D3560" w:rsidRDefault="004A3BEF" w:rsidP="004A3BEF">
      <w:pPr>
        <w:spacing w:line="360" w:lineRule="auto"/>
        <w:jc w:val="both"/>
        <w:rPr>
          <w:rFonts w:asciiTheme="minorHAnsi" w:hAnsiTheme="minorHAnsi" w:cstheme="minorHAnsi"/>
          <w:b/>
          <w:sz w:val="22"/>
          <w:szCs w:val="22"/>
        </w:rPr>
      </w:pPr>
      <w:r w:rsidRPr="002D3560">
        <w:rPr>
          <w:rFonts w:asciiTheme="minorHAnsi" w:hAnsiTheme="minorHAnsi" w:cstheme="minorHAnsi"/>
          <w:b/>
          <w:sz w:val="22"/>
          <w:szCs w:val="22"/>
        </w:rPr>
        <w:t>Personal Attributes:</w:t>
      </w:r>
    </w:p>
    <w:p w14:paraId="3C523F61" w14:textId="77777777" w:rsidR="004A3BEF" w:rsidRPr="002D3560" w:rsidRDefault="004A3BEF" w:rsidP="00D75B14">
      <w:pPr>
        <w:numPr>
          <w:ilvl w:val="0"/>
          <w:numId w:val="13"/>
        </w:numPr>
        <w:spacing w:line="360" w:lineRule="auto"/>
        <w:jc w:val="both"/>
        <w:rPr>
          <w:rFonts w:asciiTheme="minorHAnsi" w:hAnsiTheme="minorHAnsi" w:cstheme="minorHAnsi"/>
          <w:bCs/>
          <w:sz w:val="22"/>
          <w:szCs w:val="22"/>
        </w:rPr>
      </w:pPr>
      <w:r w:rsidRPr="002D3560">
        <w:rPr>
          <w:rFonts w:asciiTheme="minorHAnsi" w:hAnsiTheme="minorHAnsi" w:cstheme="minorHAnsi"/>
          <w:bCs/>
          <w:sz w:val="22"/>
          <w:szCs w:val="22"/>
        </w:rPr>
        <w:t>Motivated and enthusiastic – can work on initiative without direction</w:t>
      </w:r>
    </w:p>
    <w:p w14:paraId="3A563EA9" w14:textId="77777777" w:rsidR="004A3BEF" w:rsidRPr="002D3560" w:rsidRDefault="004A3BEF" w:rsidP="00D75B14">
      <w:pPr>
        <w:numPr>
          <w:ilvl w:val="0"/>
          <w:numId w:val="13"/>
        </w:numPr>
        <w:spacing w:line="360" w:lineRule="auto"/>
        <w:jc w:val="both"/>
        <w:rPr>
          <w:rFonts w:asciiTheme="minorHAnsi" w:hAnsiTheme="minorHAnsi" w:cstheme="minorHAnsi"/>
          <w:bCs/>
          <w:sz w:val="22"/>
          <w:szCs w:val="22"/>
        </w:rPr>
      </w:pPr>
      <w:r w:rsidRPr="002D3560">
        <w:rPr>
          <w:rFonts w:asciiTheme="minorHAnsi" w:hAnsiTheme="minorHAnsi" w:cstheme="minorHAnsi"/>
          <w:bCs/>
          <w:sz w:val="22"/>
          <w:szCs w:val="22"/>
        </w:rPr>
        <w:t>Planning skills – able to prioritise work and deliver to deadlines</w:t>
      </w:r>
    </w:p>
    <w:p w14:paraId="19AEABBE" w14:textId="77777777" w:rsidR="004A3BEF" w:rsidRPr="002D3560" w:rsidRDefault="004A3BEF" w:rsidP="00D75B14">
      <w:pPr>
        <w:numPr>
          <w:ilvl w:val="0"/>
          <w:numId w:val="13"/>
        </w:numPr>
        <w:spacing w:line="360" w:lineRule="auto"/>
        <w:jc w:val="both"/>
        <w:rPr>
          <w:rFonts w:asciiTheme="minorHAnsi" w:hAnsiTheme="minorHAnsi" w:cstheme="minorHAnsi"/>
          <w:b/>
          <w:i/>
          <w:sz w:val="22"/>
          <w:szCs w:val="22"/>
          <w:u w:val="single"/>
        </w:rPr>
      </w:pPr>
      <w:r w:rsidRPr="002D3560">
        <w:rPr>
          <w:rFonts w:asciiTheme="minorHAnsi" w:hAnsiTheme="minorHAnsi" w:cstheme="minorHAnsi"/>
          <w:bCs/>
          <w:sz w:val="22"/>
          <w:szCs w:val="22"/>
        </w:rPr>
        <w:t xml:space="preserve">Strong analytical, problem solving and decision-making skills </w:t>
      </w:r>
    </w:p>
    <w:p w14:paraId="5CFF6366" w14:textId="77777777" w:rsidR="004A3BEF" w:rsidRPr="002D3560" w:rsidRDefault="004A3BEF" w:rsidP="00D75B14">
      <w:pPr>
        <w:numPr>
          <w:ilvl w:val="0"/>
          <w:numId w:val="13"/>
        </w:numPr>
        <w:spacing w:line="360" w:lineRule="auto"/>
        <w:jc w:val="both"/>
        <w:rPr>
          <w:rFonts w:asciiTheme="minorHAnsi" w:hAnsiTheme="minorHAnsi" w:cstheme="minorHAnsi"/>
          <w:b/>
          <w:i/>
          <w:sz w:val="22"/>
          <w:szCs w:val="22"/>
          <w:u w:val="single"/>
        </w:rPr>
      </w:pPr>
      <w:r w:rsidRPr="002D3560">
        <w:rPr>
          <w:rFonts w:asciiTheme="minorHAnsi" w:hAnsiTheme="minorHAnsi" w:cstheme="minorHAnsi"/>
          <w:bCs/>
          <w:sz w:val="22"/>
          <w:szCs w:val="22"/>
        </w:rPr>
        <w:t>Ability to create positive working relationships</w:t>
      </w:r>
    </w:p>
    <w:p w14:paraId="4446A922" w14:textId="03AF59B1" w:rsidR="00446481" w:rsidRPr="000F2327" w:rsidRDefault="00446481" w:rsidP="00F65790">
      <w:pPr>
        <w:tabs>
          <w:tab w:val="left" w:pos="8364"/>
        </w:tabs>
        <w:spacing w:line="360" w:lineRule="auto"/>
        <w:ind w:right="-32"/>
        <w:jc w:val="both"/>
        <w:rPr>
          <w:rFonts w:ascii="Calibri" w:hAnsi="Calibri"/>
          <w:sz w:val="22"/>
          <w:lang w:val="en-IE"/>
        </w:rPr>
      </w:pPr>
    </w:p>
    <w:p w14:paraId="65D36952" w14:textId="77777777" w:rsidR="00805C30" w:rsidRPr="004A3BEF" w:rsidRDefault="007A1FEC" w:rsidP="00E6233C">
      <w:pPr>
        <w:spacing w:line="360" w:lineRule="auto"/>
        <w:ind w:right="-32"/>
        <w:jc w:val="both"/>
        <w:rPr>
          <w:rFonts w:ascii="Calibri" w:hAnsi="Calibri" w:cs="Arial"/>
          <w:b/>
          <w:color w:val="000000" w:themeColor="text1"/>
          <w:sz w:val="24"/>
          <w:szCs w:val="24"/>
        </w:rPr>
      </w:pPr>
      <w:r w:rsidRPr="004A3BEF">
        <w:rPr>
          <w:rFonts w:ascii="Calibri" w:hAnsi="Calibri" w:cs="Arial"/>
          <w:b/>
          <w:color w:val="000000" w:themeColor="text1"/>
          <w:sz w:val="24"/>
          <w:szCs w:val="24"/>
        </w:rPr>
        <w:t>R</w:t>
      </w:r>
      <w:r w:rsidR="00805C30" w:rsidRPr="004A3BEF">
        <w:rPr>
          <w:rFonts w:ascii="Calibri" w:hAnsi="Calibri" w:cs="Arial"/>
          <w:b/>
          <w:color w:val="000000" w:themeColor="text1"/>
          <w:sz w:val="24"/>
          <w:szCs w:val="24"/>
        </w:rPr>
        <w:t>emuneration</w:t>
      </w:r>
    </w:p>
    <w:p w14:paraId="7A7C652C" w14:textId="1EF23EB1" w:rsidR="000C4777" w:rsidRPr="004A3BEF" w:rsidRDefault="00690EB0" w:rsidP="00E6233C">
      <w:pPr>
        <w:spacing w:line="360" w:lineRule="auto"/>
        <w:ind w:right="-32"/>
        <w:jc w:val="both"/>
        <w:rPr>
          <w:rFonts w:ascii="Calibri" w:hAnsi="Calibri" w:cs="Arial"/>
          <w:color w:val="000000" w:themeColor="text1"/>
          <w:sz w:val="22"/>
          <w:szCs w:val="22"/>
        </w:rPr>
      </w:pPr>
      <w:r w:rsidRPr="004A3BEF">
        <w:rPr>
          <w:rFonts w:ascii="Calibri" w:hAnsi="Calibri" w:cs="Arial"/>
          <w:b/>
          <w:color w:val="000000" w:themeColor="text1"/>
          <w:sz w:val="22"/>
          <w:szCs w:val="22"/>
        </w:rPr>
        <w:t>Salary Grade:</w:t>
      </w:r>
      <w:r w:rsidRPr="004A3BEF">
        <w:rPr>
          <w:rFonts w:ascii="Calibri" w:hAnsi="Calibri" w:cs="Arial"/>
          <w:b/>
          <w:color w:val="000000" w:themeColor="text1"/>
          <w:sz w:val="22"/>
          <w:szCs w:val="22"/>
        </w:rPr>
        <w:tab/>
      </w:r>
      <w:r w:rsidRPr="004A3BEF">
        <w:rPr>
          <w:rFonts w:ascii="Calibri" w:hAnsi="Calibri" w:cs="Arial"/>
          <w:b/>
          <w:color w:val="000000" w:themeColor="text1"/>
          <w:sz w:val="22"/>
          <w:szCs w:val="22"/>
        </w:rPr>
        <w:tab/>
      </w:r>
      <w:r w:rsidR="00F63274" w:rsidRPr="004A3BEF">
        <w:rPr>
          <w:rFonts w:ascii="Calibri" w:hAnsi="Calibri" w:cs="Arial"/>
          <w:b/>
          <w:color w:val="000000" w:themeColor="text1"/>
          <w:sz w:val="22"/>
          <w:szCs w:val="22"/>
        </w:rPr>
        <w:tab/>
      </w:r>
      <w:r w:rsidR="004A3BEF" w:rsidRPr="004A3BEF">
        <w:rPr>
          <w:rFonts w:ascii="Calibri" w:hAnsi="Calibri" w:cs="Arial"/>
          <w:b/>
          <w:color w:val="000000" w:themeColor="text1"/>
          <w:sz w:val="22"/>
          <w:szCs w:val="22"/>
        </w:rPr>
        <w:t>Higher Executive Officer</w:t>
      </w:r>
    </w:p>
    <w:p w14:paraId="37693EA0" w14:textId="77777777" w:rsidR="004A3BEF" w:rsidRPr="004A3BEF" w:rsidRDefault="00D8645F" w:rsidP="004A3BEF">
      <w:pPr>
        <w:spacing w:line="360" w:lineRule="auto"/>
        <w:ind w:right="-32"/>
        <w:jc w:val="both"/>
        <w:rPr>
          <w:rFonts w:asciiTheme="minorHAnsi" w:hAnsiTheme="minorHAnsi"/>
          <w:b/>
          <w:color w:val="000000" w:themeColor="text1"/>
          <w:sz w:val="22"/>
          <w:szCs w:val="22"/>
        </w:rPr>
      </w:pPr>
      <w:r w:rsidRPr="004A3BEF">
        <w:rPr>
          <w:rFonts w:ascii="Calibri" w:hAnsi="Calibri" w:cs="Arial"/>
          <w:b/>
          <w:color w:val="000000" w:themeColor="text1"/>
          <w:sz w:val="22"/>
          <w:szCs w:val="22"/>
        </w:rPr>
        <w:t>Salary Scale</w:t>
      </w:r>
      <w:r w:rsidR="00CF7A81" w:rsidRPr="004A3BEF">
        <w:rPr>
          <w:rFonts w:ascii="Calibri" w:hAnsi="Calibri" w:cs="Arial"/>
          <w:b/>
          <w:color w:val="000000" w:themeColor="text1"/>
          <w:sz w:val="22"/>
          <w:szCs w:val="22"/>
        </w:rPr>
        <w:t>:</w:t>
      </w:r>
      <w:r w:rsidR="00F63274" w:rsidRPr="004A3BEF">
        <w:rPr>
          <w:rFonts w:ascii="Calibri" w:hAnsi="Calibri" w:cs="Arial"/>
          <w:b/>
          <w:color w:val="000000" w:themeColor="text1"/>
          <w:sz w:val="22"/>
          <w:szCs w:val="22"/>
        </w:rPr>
        <w:tab/>
      </w:r>
      <w:r w:rsidR="00373814" w:rsidRPr="004A3BEF">
        <w:rPr>
          <w:rFonts w:ascii="Calibri" w:hAnsi="Calibri" w:cs="Arial"/>
          <w:b/>
          <w:color w:val="000000" w:themeColor="text1"/>
          <w:sz w:val="22"/>
          <w:szCs w:val="22"/>
        </w:rPr>
        <w:tab/>
      </w:r>
      <w:r w:rsidR="00373814" w:rsidRPr="004A3BEF">
        <w:rPr>
          <w:rFonts w:asciiTheme="minorHAnsi" w:hAnsiTheme="minorHAnsi"/>
          <w:b/>
          <w:color w:val="000000" w:themeColor="text1"/>
          <w:sz w:val="22"/>
          <w:szCs w:val="22"/>
        </w:rPr>
        <w:tab/>
      </w:r>
      <w:r w:rsidR="004A3BEF" w:rsidRPr="004A3BEF">
        <w:rPr>
          <w:rFonts w:asciiTheme="minorHAnsi" w:hAnsiTheme="minorHAnsi"/>
          <w:b/>
          <w:color w:val="000000" w:themeColor="text1"/>
          <w:sz w:val="22"/>
          <w:szCs w:val="22"/>
        </w:rPr>
        <w:t xml:space="preserve">€54,764, €56,365, €57,963, €59,560, €61,163, €62,758, €64,358, €66,667 (LS1),  </w:t>
      </w:r>
    </w:p>
    <w:p w14:paraId="114248E4" w14:textId="7BFB4D3E" w:rsidR="00A171F1" w:rsidRPr="004A3BEF" w:rsidRDefault="004A3BEF" w:rsidP="00E6233C">
      <w:pPr>
        <w:spacing w:line="360" w:lineRule="auto"/>
        <w:ind w:right="-32"/>
        <w:jc w:val="both"/>
        <w:rPr>
          <w:rFonts w:asciiTheme="minorHAnsi" w:hAnsiTheme="minorHAnsi"/>
          <w:b/>
          <w:color w:val="000000" w:themeColor="text1"/>
          <w:sz w:val="22"/>
          <w:szCs w:val="22"/>
          <w:lang w:val="en-IE"/>
        </w:rPr>
      </w:pPr>
      <w:r w:rsidRPr="004A3BEF">
        <w:rPr>
          <w:rFonts w:asciiTheme="minorHAnsi" w:hAnsiTheme="minorHAnsi"/>
          <w:b/>
          <w:color w:val="000000" w:themeColor="text1"/>
          <w:sz w:val="22"/>
          <w:szCs w:val="22"/>
        </w:rPr>
        <w:t xml:space="preserve">                                                          €68,970 (LS2)</w:t>
      </w:r>
    </w:p>
    <w:p w14:paraId="36F308B4" w14:textId="77777777" w:rsidR="00CA49BD" w:rsidRPr="004A3BEF" w:rsidRDefault="00A171F1" w:rsidP="00AC77C9">
      <w:pPr>
        <w:spacing w:line="360" w:lineRule="auto"/>
        <w:ind w:left="2880" w:right="-32"/>
        <w:jc w:val="both"/>
        <w:rPr>
          <w:rFonts w:ascii="Calibri" w:hAnsi="Calibri" w:cs="Arial"/>
          <w:color w:val="000000" w:themeColor="text1"/>
          <w:sz w:val="22"/>
          <w:szCs w:val="22"/>
          <w:lang w:val="en-IE"/>
        </w:rPr>
      </w:pPr>
      <w:r w:rsidRPr="004A3BEF">
        <w:rPr>
          <w:rFonts w:ascii="Calibri" w:hAnsi="Calibri" w:cs="Arial"/>
          <w:b/>
          <w:color w:val="000000" w:themeColor="text1"/>
          <w:sz w:val="22"/>
          <w:szCs w:val="22"/>
          <w:lang w:val="en-IE"/>
        </w:rPr>
        <w:t>Personal Pension Contribution (PPC) rate.</w:t>
      </w:r>
      <w:r w:rsidRPr="004A3BEF">
        <w:rPr>
          <w:rFonts w:ascii="Calibri" w:hAnsi="Calibri" w:cs="Arial"/>
          <w:color w:val="000000" w:themeColor="text1"/>
          <w:sz w:val="22"/>
          <w:szCs w:val="22"/>
          <w:lang w:val="en-IE"/>
        </w:rPr>
        <w:t xml:space="preserve">  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Pr="004A3BEF" w:rsidRDefault="007A1FEC" w:rsidP="00E6233C">
      <w:pPr>
        <w:spacing w:line="360" w:lineRule="auto"/>
        <w:ind w:left="2880" w:right="-32"/>
        <w:jc w:val="both"/>
        <w:rPr>
          <w:rFonts w:asciiTheme="minorHAnsi" w:hAnsiTheme="minorHAnsi"/>
          <w:b/>
          <w:color w:val="000000" w:themeColor="text1"/>
          <w:sz w:val="22"/>
          <w:szCs w:val="22"/>
        </w:rPr>
      </w:pPr>
    </w:p>
    <w:p w14:paraId="3494C2EC" w14:textId="63B8B7EE" w:rsidR="004A3BEF" w:rsidRPr="004A3BEF" w:rsidRDefault="004A3BEF" w:rsidP="004A3BEF">
      <w:pPr>
        <w:spacing w:line="360" w:lineRule="auto"/>
        <w:ind w:left="2880" w:right="-32"/>
        <w:jc w:val="both"/>
        <w:rPr>
          <w:rFonts w:asciiTheme="minorHAnsi" w:hAnsiTheme="minorHAnsi"/>
          <w:b/>
          <w:color w:val="000000" w:themeColor="text1"/>
          <w:sz w:val="22"/>
          <w:szCs w:val="22"/>
          <w:lang w:val="en-IE"/>
        </w:rPr>
      </w:pPr>
      <w:r w:rsidRPr="004A3BEF">
        <w:rPr>
          <w:rFonts w:asciiTheme="minorHAnsi" w:hAnsiTheme="minorHAnsi"/>
          <w:b/>
          <w:color w:val="000000" w:themeColor="text1"/>
          <w:sz w:val="22"/>
          <w:szCs w:val="22"/>
        </w:rPr>
        <w:t>€52,158, €53,664, €55,166, €56,682, €58,199, €59,727, €61,245, €63,429 (LS1), €65,621 (LS2)</w:t>
      </w:r>
    </w:p>
    <w:p w14:paraId="09AD519E" w14:textId="208BF723" w:rsidR="008008DE" w:rsidRPr="004A3BEF" w:rsidRDefault="00A171F1" w:rsidP="00E6233C">
      <w:pPr>
        <w:spacing w:line="360" w:lineRule="auto"/>
        <w:ind w:left="2880" w:right="-32"/>
        <w:jc w:val="both"/>
        <w:rPr>
          <w:rFonts w:ascii="Calibri" w:hAnsi="Calibri" w:cs="Arial"/>
          <w:color w:val="000000" w:themeColor="text1"/>
          <w:sz w:val="22"/>
          <w:szCs w:val="22"/>
          <w:lang w:val="en-IE"/>
        </w:rPr>
      </w:pPr>
      <w:r w:rsidRPr="004A3BEF">
        <w:rPr>
          <w:rFonts w:ascii="Calibri" w:hAnsi="Calibri" w:cs="Arial"/>
          <w:b/>
          <w:color w:val="000000" w:themeColor="text1"/>
          <w:sz w:val="22"/>
          <w:szCs w:val="22"/>
          <w:lang w:val="en-IE"/>
        </w:rPr>
        <w:t>Non Personal Pension Contribution (non-PPC) rate.</w:t>
      </w:r>
      <w:r w:rsidRPr="004A3BEF">
        <w:rPr>
          <w:rFonts w:ascii="Calibri" w:hAnsi="Calibri" w:cs="Arial"/>
          <w:color w:val="000000" w:themeColor="text1"/>
          <w:sz w:val="22"/>
          <w:szCs w:val="22"/>
          <w:lang w:val="en-IE"/>
        </w:rPr>
        <w:t xml:space="preserve"> This salary is payable to an individual who is not required to make a personal pension contribution (PP</w:t>
      </w:r>
      <w:r w:rsidR="00DE468C" w:rsidRPr="004A3BEF">
        <w:rPr>
          <w:rFonts w:ascii="Calibri" w:hAnsi="Calibri" w:cs="Arial"/>
          <w:color w:val="000000" w:themeColor="text1"/>
          <w:sz w:val="22"/>
          <w:szCs w:val="22"/>
          <w:lang w:val="en-IE"/>
        </w:rPr>
        <w:t>C) to their main pension scheme.</w:t>
      </w:r>
    </w:p>
    <w:p w14:paraId="5920C22F" w14:textId="77777777" w:rsidR="000C4777" w:rsidRPr="004A3BEF" w:rsidRDefault="000C4777" w:rsidP="00E6233C">
      <w:pPr>
        <w:spacing w:line="360" w:lineRule="auto"/>
        <w:ind w:left="2880" w:right="-32"/>
        <w:jc w:val="both"/>
        <w:rPr>
          <w:rFonts w:ascii="Calibri" w:hAnsi="Calibri" w:cs="Arial"/>
          <w:b/>
          <w:color w:val="000000" w:themeColor="text1"/>
          <w:sz w:val="22"/>
          <w:szCs w:val="22"/>
        </w:rPr>
      </w:pPr>
    </w:p>
    <w:p w14:paraId="58C67038" w14:textId="1EBCEFEF"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4A3BEF">
        <w:rPr>
          <w:rFonts w:ascii="Calibri" w:hAnsi="Calibri" w:cs="Arial"/>
          <w:b/>
          <w:color w:val="000000" w:themeColor="text1"/>
          <w:sz w:val="22"/>
          <w:szCs w:val="22"/>
        </w:rPr>
        <w:t>Annual Leave</w:t>
      </w:r>
      <w:r w:rsidR="007469D5" w:rsidRPr="004A3BEF">
        <w:rPr>
          <w:rFonts w:ascii="Calibri" w:hAnsi="Calibri" w:cs="Arial"/>
          <w:b/>
          <w:color w:val="000000" w:themeColor="text1"/>
          <w:sz w:val="22"/>
          <w:szCs w:val="22"/>
        </w:rPr>
        <w:t>:</w:t>
      </w:r>
      <w:r w:rsidRPr="004A3BEF">
        <w:rPr>
          <w:rFonts w:ascii="Calibri" w:hAnsi="Calibri" w:cs="Arial"/>
          <w:b/>
          <w:color w:val="000000" w:themeColor="text1"/>
          <w:sz w:val="22"/>
          <w:szCs w:val="22"/>
        </w:rPr>
        <w:tab/>
      </w:r>
      <w:r w:rsidR="004A3BEF" w:rsidRPr="004A3BEF">
        <w:rPr>
          <w:rFonts w:ascii="Calibri" w:hAnsi="Calibri" w:cs="Arial"/>
          <w:color w:val="000000" w:themeColor="text1"/>
          <w:sz w:val="22"/>
          <w:szCs w:val="22"/>
        </w:rPr>
        <w:t>29</w:t>
      </w:r>
      <w:r w:rsidR="002332B4" w:rsidRPr="004A3BEF">
        <w:rPr>
          <w:rFonts w:ascii="Calibri" w:hAnsi="Calibri" w:cs="Arial"/>
          <w:color w:val="000000" w:themeColor="text1"/>
          <w:sz w:val="22"/>
          <w:szCs w:val="22"/>
        </w:rPr>
        <w:t xml:space="preserve"> </w:t>
      </w:r>
      <w:r w:rsidRPr="004A3BEF">
        <w:rPr>
          <w:rFonts w:ascii="Calibri" w:hAnsi="Calibri" w:cs="Arial"/>
          <w:color w:val="000000" w:themeColor="text1"/>
          <w:sz w:val="22"/>
          <w:szCs w:val="22"/>
        </w:rPr>
        <w:t>days per annum. This</w:t>
      </w:r>
      <w:r w:rsidRPr="000F2327">
        <w:rPr>
          <w:rFonts w:ascii="Calibri" w:hAnsi="Calibri" w:cs="Arial"/>
          <w:color w:val="000000" w:themeColor="text1"/>
          <w:sz w:val="22"/>
          <w:szCs w:val="22"/>
        </w:rPr>
        <w:t xml:space="preserve">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bookmarkStart w:id="0" w:name="_GoBack"/>
      <w:bookmarkEnd w:id="0"/>
    </w:p>
    <w:p w14:paraId="61C76158" w14:textId="77777777" w:rsidR="006D5198" w:rsidRPr="000F2327" w:rsidRDefault="006D5198" w:rsidP="00D75B14">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B14">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B14">
      <w:pPr>
        <w:pStyle w:val="ListParagraph"/>
        <w:numPr>
          <w:ilvl w:val="0"/>
          <w:numId w:val="4"/>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03A535D8" w14:textId="090C8D0A" w:rsidR="00336A5B" w:rsidRDefault="00063208" w:rsidP="00063208">
      <w:pPr>
        <w:spacing w:line="360" w:lineRule="auto"/>
        <w:ind w:left="2880" w:right="-32" w:hanging="2880"/>
        <w:jc w:val="both"/>
        <w:rPr>
          <w:rFonts w:ascii="Calibri" w:hAnsi="Calibri" w:cs="Arial"/>
          <w:b/>
          <w:color w:val="000000" w:themeColor="text1"/>
          <w:sz w:val="22"/>
          <w:szCs w:val="22"/>
        </w:rPr>
      </w:pPr>
      <w:r>
        <w:rPr>
          <w:rFonts w:ascii="Calibri" w:hAnsi="Calibri" w:cs="Arial"/>
          <w:b/>
          <w:color w:val="000000" w:themeColor="text1"/>
          <w:sz w:val="22"/>
          <w:szCs w:val="22"/>
        </w:rPr>
        <w:t>Contract:</w:t>
      </w:r>
      <w:r w:rsidR="00EC420E" w:rsidRPr="000F2327">
        <w:rPr>
          <w:rFonts w:ascii="Calibri" w:hAnsi="Calibri" w:cs="Arial"/>
          <w:b/>
          <w:color w:val="000000" w:themeColor="text1"/>
          <w:sz w:val="22"/>
          <w:szCs w:val="22"/>
        </w:rPr>
        <w:t xml:space="preserve">    </w:t>
      </w:r>
      <w:r w:rsidR="00847A4B">
        <w:rPr>
          <w:rFonts w:ascii="Calibri" w:hAnsi="Calibri" w:cs="Arial"/>
          <w:b/>
          <w:color w:val="000000" w:themeColor="text1"/>
          <w:sz w:val="22"/>
          <w:szCs w:val="22"/>
        </w:rPr>
        <w:tab/>
      </w:r>
      <w:r w:rsidRPr="00063208">
        <w:rPr>
          <w:rFonts w:ascii="Calibri" w:hAnsi="Calibri" w:cs="Arial"/>
          <w:color w:val="000000" w:themeColor="text1"/>
          <w:sz w:val="22"/>
          <w:szCs w:val="22"/>
        </w:rPr>
        <w:t>Vacancies f</w:t>
      </w:r>
      <w:r w:rsidR="00986F03">
        <w:rPr>
          <w:rFonts w:ascii="Calibri" w:hAnsi="Calibri" w:cs="Arial"/>
          <w:color w:val="000000" w:themeColor="text1"/>
          <w:sz w:val="22"/>
          <w:szCs w:val="22"/>
        </w:rPr>
        <w:t xml:space="preserve">illed from this panel may be </w:t>
      </w:r>
      <w:r w:rsidRPr="00063208">
        <w:rPr>
          <w:rFonts w:ascii="Calibri" w:hAnsi="Calibri" w:cs="Arial"/>
          <w:color w:val="000000" w:themeColor="text1"/>
          <w:sz w:val="22"/>
          <w:szCs w:val="22"/>
        </w:rPr>
        <w:t>Permanent or Fixed Term</w:t>
      </w:r>
      <w:r w:rsidR="00986F03">
        <w:rPr>
          <w:rFonts w:ascii="Calibri" w:hAnsi="Calibri" w:cs="Arial"/>
          <w:color w:val="000000" w:themeColor="text1"/>
          <w:sz w:val="22"/>
          <w:szCs w:val="22"/>
        </w:rPr>
        <w:t>.</w:t>
      </w:r>
      <w:r>
        <w:rPr>
          <w:rFonts w:asciiTheme="minorHAnsi" w:hAnsiTheme="minorHAnsi" w:cstheme="minorHAnsi"/>
          <w:sz w:val="22"/>
          <w:szCs w:val="22"/>
        </w:rPr>
        <w:t xml:space="preserve"> </w:t>
      </w: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lastRenderedPageBreak/>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7777777"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0"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1BDBF356"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w:t>
      </w:r>
      <w:r w:rsidR="004A3BEF">
        <w:rPr>
          <w:rFonts w:asciiTheme="minorHAnsi" w:hAnsiTheme="minorHAnsi" w:cstheme="minorHAnsi"/>
          <w:color w:val="000000" w:themeColor="text1"/>
          <w:sz w:val="22"/>
          <w:szCs w:val="22"/>
        </w:rPr>
        <w:t xml:space="preserve"> in the subject of the email to </w:t>
      </w:r>
      <w:r w:rsidR="004A3BEF" w:rsidRPr="00051CDC">
        <w:rPr>
          <w:rFonts w:asciiTheme="minorHAnsi" w:hAnsiTheme="minorHAnsi" w:cstheme="minorHAnsi"/>
          <w:b/>
          <w:sz w:val="22"/>
          <w:szCs w:val="22"/>
        </w:rPr>
        <w:t>careers@nationaltransport.ie</w:t>
      </w:r>
      <w:r w:rsidR="004A3BEF">
        <w:rPr>
          <w:rFonts w:asciiTheme="minorHAnsi" w:hAnsiTheme="minorHAnsi" w:cstheme="minorHAnsi"/>
          <w:color w:val="000000" w:themeColor="text1"/>
          <w:sz w:val="22"/>
          <w:szCs w:val="22"/>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37A2B01A" w:rsidR="00045BAB" w:rsidRPr="000F2327" w:rsidRDefault="00045BAB" w:rsidP="00D75B14">
      <w:pPr>
        <w:numPr>
          <w:ilvl w:val="0"/>
          <w:numId w:val="6"/>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outlining why you wish to be considered for the post and where you believe your skills and experience meet t</w:t>
      </w:r>
      <w:r w:rsidR="004A3BEF">
        <w:rPr>
          <w:rFonts w:ascii="Calibri" w:hAnsi="Calibri" w:cs="Arial"/>
          <w:color w:val="000000" w:themeColor="text1"/>
          <w:sz w:val="22"/>
          <w:szCs w:val="22"/>
          <w:lang w:val="en-IE"/>
        </w:rPr>
        <w:t>he requirements for the role of Senior Transport Regulation Executive Officer (Panel);</w:t>
      </w:r>
    </w:p>
    <w:p w14:paraId="317B0F3C" w14:textId="43745D61" w:rsidR="00A323E0" w:rsidRPr="000F2327" w:rsidRDefault="00A323E0" w:rsidP="00D75B14">
      <w:pPr>
        <w:numPr>
          <w:ilvl w:val="0"/>
          <w:numId w:val="6"/>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r w:rsidR="004A3BEF">
        <w:rPr>
          <w:rFonts w:ascii="Calibri" w:hAnsi="Calibri" w:cs="Arial"/>
          <w:color w:val="000000" w:themeColor="text1"/>
          <w:sz w:val="22"/>
          <w:szCs w:val="22"/>
          <w:lang w:val="en-IE"/>
        </w:rPr>
        <w:t>.</w:t>
      </w:r>
      <w:r w:rsidR="004A3BEF" w:rsidRPr="000F2327">
        <w:rPr>
          <w:rFonts w:ascii="Calibri" w:hAnsi="Calibri" w:cs="Arial"/>
          <w:color w:val="000000" w:themeColor="text1"/>
          <w:sz w:val="22"/>
          <w:szCs w:val="22"/>
          <w:lang w:val="en-IE"/>
        </w:rPr>
        <w:t xml:space="preserve"> </w:t>
      </w:r>
    </w:p>
    <w:p w14:paraId="10AB0F30" w14:textId="1DAE122A" w:rsidR="004433F2" w:rsidRPr="000F2327" w:rsidRDefault="004A3BEF" w:rsidP="004A3BEF">
      <w:pPr>
        <w:tabs>
          <w:tab w:val="left" w:pos="1701"/>
        </w:tabs>
        <w:spacing w:line="360" w:lineRule="auto"/>
        <w:ind w:left="142" w:right="-32"/>
        <w:jc w:val="both"/>
        <w:rPr>
          <w:rFonts w:ascii="Calibri" w:hAnsi="Calibri" w:cs="Arial"/>
          <w:bCs/>
          <w:color w:val="000000" w:themeColor="text1"/>
          <w:sz w:val="22"/>
          <w:szCs w:val="22"/>
        </w:rPr>
      </w:pPr>
      <w:r w:rsidRPr="000F2327">
        <w:rPr>
          <w:rFonts w:ascii="Calibri" w:hAnsi="Calibri" w:cs="Arial"/>
          <w:bCs/>
          <w:color w:val="000000" w:themeColor="text1"/>
          <w:sz w:val="22"/>
          <w:szCs w:val="22"/>
        </w:rPr>
        <w:t xml:space="preserve"> </w:t>
      </w:r>
    </w:p>
    <w:p w14:paraId="0D726900" w14:textId="366DEF71"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004A3BEF">
        <w:rPr>
          <w:rFonts w:ascii="Calibri" w:hAnsi="Calibri" w:cs="Arial"/>
          <w:bCs/>
          <w:color w:val="000000" w:themeColor="text1"/>
          <w:sz w:val="22"/>
          <w:szCs w:val="22"/>
        </w:rPr>
        <w:t>2 r</w:t>
      </w:r>
      <w:r w:rsidRPr="000F2327">
        <w:rPr>
          <w:rFonts w:ascii="Calibri" w:hAnsi="Calibri" w:cs="Arial"/>
          <w:bCs/>
          <w:color w:val="000000" w:themeColor="text1"/>
          <w:sz w:val="22"/>
          <w:szCs w:val="22"/>
        </w:rPr>
        <w:t>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44AFF866"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4A3BEF">
        <w:rPr>
          <w:rFonts w:ascii="Calibri" w:hAnsi="Calibri" w:cs="Arial"/>
          <w:b/>
          <w:color w:val="000000" w:themeColor="text1"/>
          <w:sz w:val="22"/>
          <w:szCs w:val="22"/>
        </w:rPr>
        <w:t xml:space="preserve"> on 5</w:t>
      </w:r>
      <w:r w:rsidR="004A3BEF" w:rsidRPr="004A3BEF">
        <w:rPr>
          <w:rFonts w:ascii="Calibri" w:hAnsi="Calibri" w:cs="Arial"/>
          <w:b/>
          <w:color w:val="000000" w:themeColor="text1"/>
          <w:sz w:val="22"/>
          <w:szCs w:val="22"/>
          <w:vertAlign w:val="superscript"/>
        </w:rPr>
        <w:t>th</w:t>
      </w:r>
      <w:r w:rsidR="004A3BEF">
        <w:rPr>
          <w:rFonts w:ascii="Calibri" w:hAnsi="Calibri" w:cs="Arial"/>
          <w:b/>
          <w:color w:val="000000" w:themeColor="text1"/>
          <w:sz w:val="22"/>
          <w:szCs w:val="22"/>
        </w:rPr>
        <w:t xml:space="preserve"> April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336844B5"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4A3BEF">
        <w:rPr>
          <w:rFonts w:asciiTheme="minorHAnsi" w:hAnsiTheme="minorHAnsi" w:cstheme="minorHAnsi"/>
          <w:color w:val="000000" w:themeColor="text1"/>
          <w:sz w:val="22"/>
          <w:szCs w:val="22"/>
          <w:lang w:val="en-IE"/>
        </w:rPr>
        <w:t xml:space="preserve"> </w:t>
      </w:r>
      <w:r w:rsidR="004A3BEF" w:rsidRPr="00051CDC">
        <w:rPr>
          <w:rFonts w:asciiTheme="minorHAnsi" w:hAnsiTheme="minorHAnsi" w:cstheme="minorHAnsi"/>
          <w:b/>
          <w:sz w:val="22"/>
          <w:szCs w:val="22"/>
          <w:lang w:val="en-IE"/>
        </w:rPr>
        <w:t>careers@nationaltransport.ie</w:t>
      </w:r>
      <w:r w:rsidR="00051CDC">
        <w:rPr>
          <w:rFonts w:asciiTheme="minorHAnsi" w:hAnsiTheme="minorHAnsi" w:cstheme="minorHAnsi"/>
          <w:b/>
          <w:sz w:val="22"/>
          <w:szCs w:val="22"/>
          <w:lang w:val="en-IE"/>
        </w:rPr>
        <w:t>.</w:t>
      </w:r>
      <w:r w:rsidR="004A3BEF">
        <w:rPr>
          <w:rFonts w:asciiTheme="minorHAnsi" w:hAnsiTheme="minorHAnsi" w:cstheme="minorHAnsi"/>
          <w:color w:val="000000" w:themeColor="text1"/>
          <w:sz w:val="22"/>
          <w:szCs w:val="22"/>
          <w:lang w:val="en-IE"/>
        </w:rPr>
        <w:t xml:space="preserve"> </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726F984E" w14:textId="146A1BBD" w:rsidR="00B26CA5" w:rsidRPr="00D75834" w:rsidRDefault="004A3BEF" w:rsidP="004A3BEF">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Senior Transport Regulation Executive Officer -</w:t>
      </w:r>
      <w:r w:rsidR="00051CDC">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
        <w:tblW w:w="10490" w:type="dxa"/>
        <w:jc w:val="center"/>
        <w:tblLook w:val="04A0" w:firstRow="1" w:lastRow="0" w:firstColumn="1" w:lastColumn="0" w:noHBand="0" w:noVBand="1"/>
      </w:tblPr>
      <w:tblGrid>
        <w:gridCol w:w="1843"/>
        <w:gridCol w:w="8647"/>
      </w:tblGrid>
      <w:tr w:rsidR="004A3BEF" w:rsidRPr="00345905" w14:paraId="0695DAE6" w14:textId="77777777" w:rsidTr="00A76875">
        <w:trPr>
          <w:jc w:val="center"/>
        </w:trPr>
        <w:tc>
          <w:tcPr>
            <w:tcW w:w="1843" w:type="dxa"/>
            <w:vMerge w:val="restart"/>
            <w:tcBorders>
              <w:top w:val="nil"/>
              <w:left w:val="nil"/>
              <w:bottom w:val="nil"/>
              <w:right w:val="nil"/>
            </w:tcBorders>
            <w:shd w:val="clear" w:color="auto" w:fill="F79646" w:themeFill="accent6"/>
          </w:tcPr>
          <w:p w14:paraId="34A158CD" w14:textId="77777777" w:rsidR="004A3BEF" w:rsidRPr="00E2468D"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Team Leadership</w:t>
            </w: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2CD871E3"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Works with the team to facilitate high performance, developing clear and realistic objectives and addressing and performance issues if they arise</w:t>
            </w:r>
          </w:p>
        </w:tc>
      </w:tr>
      <w:tr w:rsidR="004A3BEF" w:rsidRPr="00345905" w14:paraId="5DF127B7" w14:textId="77777777" w:rsidTr="00A76875">
        <w:trPr>
          <w:jc w:val="center"/>
        </w:trPr>
        <w:tc>
          <w:tcPr>
            <w:tcW w:w="1843" w:type="dxa"/>
            <w:vMerge/>
            <w:tcBorders>
              <w:top w:val="nil"/>
              <w:left w:val="nil"/>
              <w:bottom w:val="nil"/>
              <w:right w:val="nil"/>
            </w:tcBorders>
            <w:shd w:val="clear" w:color="auto" w:fill="F79646" w:themeFill="accent6"/>
          </w:tcPr>
          <w:p w14:paraId="3DFB5D55" w14:textId="77777777" w:rsidR="004A3BEF" w:rsidRPr="00E2468D"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6F384D0F"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Provides clear information and advice as to what is required of the</w:t>
            </w:r>
          </w:p>
        </w:tc>
      </w:tr>
      <w:tr w:rsidR="004A3BEF" w:rsidRPr="00345905" w14:paraId="2AB26AEE" w14:textId="77777777" w:rsidTr="00A76875">
        <w:trPr>
          <w:jc w:val="center"/>
        </w:trPr>
        <w:tc>
          <w:tcPr>
            <w:tcW w:w="1843" w:type="dxa"/>
            <w:vMerge/>
            <w:tcBorders>
              <w:top w:val="nil"/>
              <w:left w:val="nil"/>
              <w:bottom w:val="nil"/>
              <w:right w:val="nil"/>
            </w:tcBorders>
            <w:shd w:val="clear" w:color="auto" w:fill="F79646" w:themeFill="accent6"/>
          </w:tcPr>
          <w:p w14:paraId="078D8DA5" w14:textId="77777777" w:rsidR="004A3BEF" w:rsidRPr="00E2468D"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5C7FB793"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Strives to develop and implement new ways of working effectively to meet objective</w:t>
            </w:r>
            <w:r>
              <w:rPr>
                <w:rFonts w:ascii="Calibri" w:eastAsia="Calibri" w:hAnsi="Calibri" w:cs="Arial"/>
                <w:color w:val="000000"/>
                <w:sz w:val="17"/>
                <w:szCs w:val="17"/>
              </w:rPr>
              <w:t>s</w:t>
            </w:r>
          </w:p>
        </w:tc>
      </w:tr>
      <w:tr w:rsidR="004A3BEF" w:rsidRPr="00345905" w14:paraId="7940E08D" w14:textId="77777777" w:rsidTr="00A76875">
        <w:trPr>
          <w:jc w:val="center"/>
        </w:trPr>
        <w:tc>
          <w:tcPr>
            <w:tcW w:w="1843" w:type="dxa"/>
            <w:vMerge/>
            <w:tcBorders>
              <w:top w:val="nil"/>
              <w:left w:val="nil"/>
              <w:bottom w:val="nil"/>
              <w:right w:val="nil"/>
            </w:tcBorders>
            <w:shd w:val="clear" w:color="auto" w:fill="F79646" w:themeFill="accent6"/>
          </w:tcPr>
          <w:p w14:paraId="19BCEEDA" w14:textId="77777777" w:rsidR="004A3BEF" w:rsidRPr="00E2468D"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0023D221"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Leads the team by example, coaching and supporting individuals as required</w:t>
            </w:r>
          </w:p>
        </w:tc>
      </w:tr>
      <w:tr w:rsidR="004A3BEF" w:rsidRPr="00345905" w14:paraId="54744F9D" w14:textId="77777777" w:rsidTr="00A76875">
        <w:trPr>
          <w:jc w:val="center"/>
        </w:trPr>
        <w:tc>
          <w:tcPr>
            <w:tcW w:w="1843" w:type="dxa"/>
            <w:vMerge/>
            <w:tcBorders>
              <w:top w:val="nil"/>
              <w:left w:val="nil"/>
              <w:bottom w:val="nil"/>
              <w:right w:val="nil"/>
            </w:tcBorders>
            <w:shd w:val="clear" w:color="auto" w:fill="F79646" w:themeFill="accent6"/>
          </w:tcPr>
          <w:p w14:paraId="48F373A4" w14:textId="77777777" w:rsidR="004A3BEF" w:rsidRPr="00E2468D"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3EA82A87"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team Places high importance on staff development, training and maximising skills &amp; capacity of team</w:t>
            </w:r>
          </w:p>
        </w:tc>
      </w:tr>
      <w:tr w:rsidR="004A3BEF" w:rsidRPr="00345905" w14:paraId="54AF1A58" w14:textId="77777777" w:rsidTr="00A76875">
        <w:trPr>
          <w:jc w:val="center"/>
        </w:trPr>
        <w:tc>
          <w:tcPr>
            <w:tcW w:w="1843" w:type="dxa"/>
            <w:tcBorders>
              <w:top w:val="nil"/>
              <w:left w:val="nil"/>
              <w:bottom w:val="nil"/>
              <w:right w:val="nil"/>
            </w:tcBorders>
            <w:shd w:val="clear" w:color="auto" w:fill="F79646" w:themeFill="accent6"/>
          </w:tcPr>
          <w:p w14:paraId="0D1F1A52" w14:textId="77777777" w:rsidR="004A3BEF" w:rsidRPr="00E2468D"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7D417EEC"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Is flexible and willing to adapt, positively contributing to the implementation of change</w:t>
            </w:r>
          </w:p>
        </w:tc>
      </w:tr>
      <w:tr w:rsidR="004A3BEF" w:rsidRPr="00345905" w14:paraId="789ABF39" w14:textId="77777777" w:rsidTr="00A76875">
        <w:trPr>
          <w:jc w:val="center"/>
        </w:trPr>
        <w:tc>
          <w:tcPr>
            <w:tcW w:w="1843" w:type="dxa"/>
            <w:vMerge w:val="restart"/>
            <w:tcBorders>
              <w:top w:val="nil"/>
              <w:left w:val="single" w:sz="4" w:space="0" w:color="FFFFFF"/>
              <w:right w:val="single" w:sz="4" w:space="0" w:color="FFFFFF"/>
            </w:tcBorders>
            <w:shd w:val="clear" w:color="auto" w:fill="4F81BD" w:themeFill="accent1"/>
          </w:tcPr>
          <w:p w14:paraId="5C92907D"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Judgement, Analysis &amp; Decision Making</w:t>
            </w:r>
          </w:p>
        </w:tc>
        <w:tc>
          <w:tcPr>
            <w:tcW w:w="8647" w:type="dxa"/>
            <w:tcBorders>
              <w:top w:val="single" w:sz="4" w:space="0" w:color="FFFFFF"/>
              <w:left w:val="single" w:sz="4" w:space="0" w:color="FFFFFF"/>
              <w:bottom w:val="single" w:sz="4" w:space="0" w:color="548DD4"/>
              <w:right w:val="single" w:sz="4" w:space="0" w:color="FFFFFF"/>
            </w:tcBorders>
            <w:shd w:val="clear" w:color="auto" w:fill="DBE5F1" w:themeFill="accent1" w:themeFillTint="33"/>
          </w:tcPr>
          <w:p w14:paraId="7DBDE22C"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Gathers and analyses information from relevant sources, whether financial, numerical or otherwise weighing up a range of critical factors</w:t>
            </w:r>
          </w:p>
        </w:tc>
      </w:tr>
      <w:tr w:rsidR="004A3BEF" w:rsidRPr="00345905" w14:paraId="56200394" w14:textId="77777777" w:rsidTr="00A76875">
        <w:trPr>
          <w:jc w:val="center"/>
        </w:trPr>
        <w:tc>
          <w:tcPr>
            <w:tcW w:w="1843" w:type="dxa"/>
            <w:vMerge/>
            <w:tcBorders>
              <w:left w:val="single" w:sz="4" w:space="0" w:color="FFFFFF"/>
              <w:right w:val="single" w:sz="4" w:space="0" w:color="FFFFFF"/>
            </w:tcBorders>
            <w:shd w:val="clear" w:color="auto" w:fill="4F81BD" w:themeFill="accent1"/>
          </w:tcPr>
          <w:p w14:paraId="63A6D6AE"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1286BD7C"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Takes account of any broader issues, agendas, sensitivities and related implications when making decisions</w:t>
            </w:r>
          </w:p>
        </w:tc>
      </w:tr>
      <w:tr w:rsidR="004A3BEF" w:rsidRPr="00345905" w14:paraId="6DC72415" w14:textId="77777777" w:rsidTr="00A76875">
        <w:trPr>
          <w:jc w:val="center"/>
        </w:trPr>
        <w:tc>
          <w:tcPr>
            <w:tcW w:w="1843" w:type="dxa"/>
            <w:vMerge/>
            <w:tcBorders>
              <w:left w:val="single" w:sz="4" w:space="0" w:color="FFFFFF"/>
              <w:right w:val="single" w:sz="4" w:space="0" w:color="FFFFFF"/>
            </w:tcBorders>
            <w:shd w:val="clear" w:color="auto" w:fill="4F81BD" w:themeFill="accent1"/>
          </w:tcPr>
          <w:p w14:paraId="25363430"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2B7CCCBC"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Uses previous knowledge and experience in order to guide decisions</w:t>
            </w:r>
          </w:p>
        </w:tc>
      </w:tr>
      <w:tr w:rsidR="004A3BEF" w:rsidRPr="00345905" w14:paraId="2A55638F" w14:textId="77777777" w:rsidTr="00A76875">
        <w:trPr>
          <w:jc w:val="center"/>
        </w:trPr>
        <w:tc>
          <w:tcPr>
            <w:tcW w:w="1843" w:type="dxa"/>
            <w:vMerge/>
            <w:tcBorders>
              <w:left w:val="single" w:sz="4" w:space="0" w:color="FFFFFF"/>
              <w:right w:val="single" w:sz="4" w:space="0" w:color="FFFFFF"/>
            </w:tcBorders>
            <w:shd w:val="clear" w:color="auto" w:fill="4F81BD" w:themeFill="accent1"/>
          </w:tcPr>
          <w:p w14:paraId="0BC02707"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65A5F282"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Uses judgement to make sound decisions with a well-reasoned rationale and stands by these</w:t>
            </w:r>
          </w:p>
        </w:tc>
      </w:tr>
      <w:tr w:rsidR="004A3BEF" w:rsidRPr="00345905" w14:paraId="504C51AE" w14:textId="77777777" w:rsidTr="00A76875">
        <w:trPr>
          <w:jc w:val="center"/>
        </w:trPr>
        <w:tc>
          <w:tcPr>
            <w:tcW w:w="1843" w:type="dxa"/>
            <w:vMerge/>
            <w:tcBorders>
              <w:left w:val="single" w:sz="4" w:space="0" w:color="FFFFFF"/>
              <w:bottom w:val="nil"/>
              <w:right w:val="single" w:sz="4" w:space="0" w:color="FFFFFF"/>
            </w:tcBorders>
            <w:shd w:val="clear" w:color="auto" w:fill="4F81BD" w:themeFill="accent1"/>
          </w:tcPr>
          <w:p w14:paraId="28D921DE"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BE5F1" w:themeFill="accent1" w:themeFillTint="33"/>
          </w:tcPr>
          <w:p w14:paraId="2CF50EFA"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Puts forward solutions to address problems</w:t>
            </w:r>
          </w:p>
        </w:tc>
      </w:tr>
      <w:tr w:rsidR="004A3BEF" w:rsidRPr="00345905" w14:paraId="05B28C21" w14:textId="77777777" w:rsidTr="00A76875">
        <w:trPr>
          <w:jc w:val="center"/>
        </w:trPr>
        <w:tc>
          <w:tcPr>
            <w:tcW w:w="1843" w:type="dxa"/>
            <w:vMerge w:val="restart"/>
            <w:tcBorders>
              <w:top w:val="nil"/>
              <w:left w:val="nil"/>
              <w:right w:val="nil"/>
            </w:tcBorders>
            <w:shd w:val="clear" w:color="auto" w:fill="C0504D"/>
          </w:tcPr>
          <w:p w14:paraId="1AE65748"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Management &amp; Delivery of Results</w:t>
            </w:r>
          </w:p>
        </w:tc>
        <w:tc>
          <w:tcPr>
            <w:tcW w:w="8647" w:type="dxa"/>
            <w:tcBorders>
              <w:top w:val="single" w:sz="4" w:space="0" w:color="FFFFFF"/>
              <w:left w:val="nil"/>
              <w:bottom w:val="single" w:sz="4" w:space="0" w:color="D99594"/>
              <w:right w:val="single" w:sz="4" w:space="0" w:color="FFFFFF"/>
            </w:tcBorders>
            <w:shd w:val="clear" w:color="auto" w:fill="F2DBDB"/>
          </w:tcPr>
          <w:p w14:paraId="11AF1B2F"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Takes responsibility and is accountable for the delivery of agreed objectives</w:t>
            </w:r>
          </w:p>
        </w:tc>
      </w:tr>
      <w:tr w:rsidR="004A3BEF" w:rsidRPr="00345905" w14:paraId="79CD3380" w14:textId="77777777" w:rsidTr="00A76875">
        <w:trPr>
          <w:jc w:val="center"/>
        </w:trPr>
        <w:tc>
          <w:tcPr>
            <w:tcW w:w="1843" w:type="dxa"/>
            <w:vMerge/>
            <w:tcBorders>
              <w:left w:val="nil"/>
              <w:right w:val="nil"/>
            </w:tcBorders>
            <w:shd w:val="clear" w:color="auto" w:fill="C0504D"/>
          </w:tcPr>
          <w:p w14:paraId="2DB68E5A"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4F7FEDA8"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Successfully manages a range of different projects and work activities at the same time</w:t>
            </w:r>
          </w:p>
        </w:tc>
      </w:tr>
      <w:tr w:rsidR="004A3BEF" w:rsidRPr="00345905" w14:paraId="10FC2815" w14:textId="77777777" w:rsidTr="00A76875">
        <w:trPr>
          <w:jc w:val="center"/>
        </w:trPr>
        <w:tc>
          <w:tcPr>
            <w:tcW w:w="1843" w:type="dxa"/>
            <w:vMerge/>
            <w:tcBorders>
              <w:left w:val="nil"/>
              <w:right w:val="nil"/>
            </w:tcBorders>
            <w:shd w:val="clear" w:color="auto" w:fill="C0504D"/>
          </w:tcPr>
          <w:p w14:paraId="503D9DCD"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66DB9551"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Structures and organises their own and others work effectively</w:t>
            </w:r>
          </w:p>
        </w:tc>
      </w:tr>
      <w:tr w:rsidR="004A3BEF" w:rsidRPr="00345905" w14:paraId="74D7FD7D" w14:textId="77777777" w:rsidTr="00A76875">
        <w:trPr>
          <w:jc w:val="center"/>
        </w:trPr>
        <w:tc>
          <w:tcPr>
            <w:tcW w:w="1843" w:type="dxa"/>
            <w:vMerge/>
            <w:tcBorders>
              <w:left w:val="nil"/>
              <w:right w:val="nil"/>
            </w:tcBorders>
            <w:shd w:val="clear" w:color="auto" w:fill="C0504D"/>
          </w:tcPr>
          <w:p w14:paraId="349A776F"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24E4B3F1"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Is logical and pragmatic in approach, delivering the best possible results with the resources available</w:t>
            </w:r>
          </w:p>
        </w:tc>
      </w:tr>
      <w:tr w:rsidR="004A3BEF" w:rsidRPr="00345905" w14:paraId="120150DD" w14:textId="77777777" w:rsidTr="00A76875">
        <w:trPr>
          <w:jc w:val="center"/>
        </w:trPr>
        <w:tc>
          <w:tcPr>
            <w:tcW w:w="1843" w:type="dxa"/>
            <w:vMerge/>
            <w:tcBorders>
              <w:left w:val="nil"/>
              <w:right w:val="nil"/>
            </w:tcBorders>
            <w:shd w:val="clear" w:color="auto" w:fill="C0504D"/>
          </w:tcPr>
          <w:p w14:paraId="1D24958E"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1F8A26DB"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Delegates work effectively, providing clear information and evidence as to what is required</w:t>
            </w:r>
          </w:p>
        </w:tc>
      </w:tr>
      <w:tr w:rsidR="004A3BEF" w:rsidRPr="00345905" w14:paraId="35D8CCE6" w14:textId="77777777" w:rsidTr="00A76875">
        <w:trPr>
          <w:jc w:val="center"/>
        </w:trPr>
        <w:tc>
          <w:tcPr>
            <w:tcW w:w="1843" w:type="dxa"/>
            <w:vMerge/>
            <w:tcBorders>
              <w:left w:val="nil"/>
              <w:right w:val="nil"/>
            </w:tcBorders>
            <w:shd w:val="clear" w:color="auto" w:fill="C0504D"/>
          </w:tcPr>
          <w:p w14:paraId="5787F5B1"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15E9651D"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Proactively identifies areas for improvement and develops practical suggestions for their implementation</w:t>
            </w:r>
          </w:p>
        </w:tc>
      </w:tr>
      <w:tr w:rsidR="004A3BEF" w:rsidRPr="00345905" w14:paraId="5FBEAFA5" w14:textId="77777777" w:rsidTr="00A76875">
        <w:trPr>
          <w:jc w:val="center"/>
        </w:trPr>
        <w:tc>
          <w:tcPr>
            <w:tcW w:w="1843" w:type="dxa"/>
            <w:vMerge/>
            <w:tcBorders>
              <w:left w:val="nil"/>
              <w:right w:val="nil"/>
            </w:tcBorders>
            <w:shd w:val="clear" w:color="auto" w:fill="C0504D"/>
          </w:tcPr>
          <w:p w14:paraId="59395258"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tcPr>
          <w:p w14:paraId="0718DC0E"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Demonstrates enthusiasm for new developments/changing work practices and strives to implement these</w:t>
            </w:r>
          </w:p>
        </w:tc>
      </w:tr>
      <w:tr w:rsidR="004A3BEF" w:rsidRPr="00345905" w14:paraId="0B4E0E49" w14:textId="77777777" w:rsidTr="00A76875">
        <w:trPr>
          <w:jc w:val="center"/>
        </w:trPr>
        <w:tc>
          <w:tcPr>
            <w:tcW w:w="1843" w:type="dxa"/>
            <w:vMerge/>
            <w:tcBorders>
              <w:left w:val="nil"/>
              <w:right w:val="nil"/>
            </w:tcBorders>
            <w:shd w:val="clear" w:color="auto" w:fill="C0504D"/>
          </w:tcPr>
          <w:p w14:paraId="31652D60"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tcPr>
          <w:p w14:paraId="118A8CF3"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Applies appropriate systems/ processes to enable quality checking of all activities and outputs</w:t>
            </w:r>
          </w:p>
        </w:tc>
      </w:tr>
      <w:tr w:rsidR="004A3BEF" w:rsidRPr="00345905" w14:paraId="6792BBED" w14:textId="77777777" w:rsidTr="00A76875">
        <w:trPr>
          <w:jc w:val="center"/>
        </w:trPr>
        <w:tc>
          <w:tcPr>
            <w:tcW w:w="1843" w:type="dxa"/>
            <w:vMerge/>
            <w:tcBorders>
              <w:left w:val="single" w:sz="4" w:space="0" w:color="FFFFFF"/>
              <w:bottom w:val="nil"/>
              <w:right w:val="single" w:sz="4" w:space="0" w:color="FFFFFF"/>
            </w:tcBorders>
            <w:shd w:val="clear" w:color="auto" w:fill="C0504D"/>
          </w:tcPr>
          <w:p w14:paraId="4C86CF59"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single" w:sz="4" w:space="0" w:color="FFFFFF"/>
              <w:bottom w:val="single" w:sz="4" w:space="0" w:color="FFFFFF"/>
              <w:right w:val="single" w:sz="4" w:space="0" w:color="FFFFFF"/>
            </w:tcBorders>
            <w:shd w:val="clear" w:color="auto" w:fill="F2DBDB"/>
          </w:tcPr>
          <w:p w14:paraId="6ACD7873"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Practices and promotes a strong focus on delivering high quality customer service, for internal and external customers</w:t>
            </w:r>
          </w:p>
        </w:tc>
      </w:tr>
      <w:tr w:rsidR="004A3BEF" w:rsidRPr="00345905" w14:paraId="4764BA33" w14:textId="77777777" w:rsidTr="00A76875">
        <w:trPr>
          <w:jc w:val="center"/>
        </w:trPr>
        <w:tc>
          <w:tcPr>
            <w:tcW w:w="1843" w:type="dxa"/>
            <w:vMerge w:val="restart"/>
            <w:tcBorders>
              <w:top w:val="nil"/>
              <w:left w:val="nil"/>
              <w:right w:val="nil"/>
            </w:tcBorders>
            <w:shd w:val="clear" w:color="auto" w:fill="4BACC6"/>
          </w:tcPr>
          <w:p w14:paraId="03405F86"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Interpersonal &amp; Communication Skills</w:t>
            </w:r>
          </w:p>
        </w:tc>
        <w:tc>
          <w:tcPr>
            <w:tcW w:w="8647" w:type="dxa"/>
            <w:tcBorders>
              <w:top w:val="single" w:sz="4" w:space="0" w:color="FFFFFF"/>
              <w:left w:val="nil"/>
              <w:bottom w:val="single" w:sz="4" w:space="0" w:color="92CDDC"/>
              <w:right w:val="single" w:sz="4" w:space="0" w:color="FFFFFF"/>
            </w:tcBorders>
            <w:shd w:val="clear" w:color="auto" w:fill="C6FAF5"/>
          </w:tcPr>
          <w:p w14:paraId="579D44C9"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Builds and maintains contact with colleagues and other stakeholders to assist in performing role</w:t>
            </w:r>
          </w:p>
        </w:tc>
      </w:tr>
      <w:tr w:rsidR="004A3BEF" w:rsidRPr="00345905" w14:paraId="35053C93" w14:textId="77777777" w:rsidTr="00A76875">
        <w:trPr>
          <w:jc w:val="center"/>
        </w:trPr>
        <w:tc>
          <w:tcPr>
            <w:tcW w:w="1843" w:type="dxa"/>
            <w:vMerge/>
            <w:tcBorders>
              <w:left w:val="nil"/>
              <w:right w:val="nil"/>
            </w:tcBorders>
            <w:shd w:val="clear" w:color="auto" w:fill="4BACC6"/>
          </w:tcPr>
          <w:p w14:paraId="7E480593"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2C0ACA72"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Acts as an effective link between staff and senior management</w:t>
            </w:r>
          </w:p>
        </w:tc>
      </w:tr>
      <w:tr w:rsidR="004A3BEF" w:rsidRPr="00345905" w14:paraId="7D0F21E7" w14:textId="77777777" w:rsidTr="00A76875">
        <w:trPr>
          <w:jc w:val="center"/>
        </w:trPr>
        <w:tc>
          <w:tcPr>
            <w:tcW w:w="1843" w:type="dxa"/>
            <w:vMerge/>
            <w:tcBorders>
              <w:left w:val="nil"/>
              <w:right w:val="nil"/>
            </w:tcBorders>
            <w:shd w:val="clear" w:color="auto" w:fill="4BACC6"/>
          </w:tcPr>
          <w:p w14:paraId="24F19FFB"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64932C16"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Encourages open and constructive discussions around work issues</w:t>
            </w:r>
          </w:p>
        </w:tc>
      </w:tr>
      <w:tr w:rsidR="004A3BEF" w:rsidRPr="00345905" w14:paraId="7BC57CD5" w14:textId="77777777" w:rsidTr="00A76875">
        <w:trPr>
          <w:jc w:val="center"/>
        </w:trPr>
        <w:tc>
          <w:tcPr>
            <w:tcW w:w="1843" w:type="dxa"/>
            <w:vMerge/>
            <w:tcBorders>
              <w:left w:val="nil"/>
              <w:right w:val="nil"/>
            </w:tcBorders>
            <w:shd w:val="clear" w:color="auto" w:fill="4BACC6"/>
          </w:tcPr>
          <w:p w14:paraId="489499EC"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07E1C815"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Projects conviction, gaining buy-in by outlining relevant information and selling the benefits</w:t>
            </w:r>
          </w:p>
        </w:tc>
      </w:tr>
      <w:tr w:rsidR="004A3BEF" w:rsidRPr="00345905" w14:paraId="7F2BDD70" w14:textId="77777777" w:rsidTr="00A76875">
        <w:trPr>
          <w:jc w:val="center"/>
        </w:trPr>
        <w:tc>
          <w:tcPr>
            <w:tcW w:w="1843" w:type="dxa"/>
            <w:vMerge/>
            <w:tcBorders>
              <w:left w:val="nil"/>
              <w:right w:val="nil"/>
            </w:tcBorders>
            <w:shd w:val="clear" w:color="auto" w:fill="4BACC6"/>
          </w:tcPr>
          <w:p w14:paraId="6252E1DA"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20AF4662"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Treats others with diplomacy, tact, courtesy and respect, even in challenging circumstances</w:t>
            </w:r>
          </w:p>
        </w:tc>
      </w:tr>
      <w:tr w:rsidR="004A3BEF" w:rsidRPr="00345905" w14:paraId="710E8251" w14:textId="77777777" w:rsidTr="00A76875">
        <w:trPr>
          <w:jc w:val="center"/>
        </w:trPr>
        <w:tc>
          <w:tcPr>
            <w:tcW w:w="1843" w:type="dxa"/>
            <w:vMerge/>
            <w:tcBorders>
              <w:left w:val="nil"/>
              <w:right w:val="nil"/>
            </w:tcBorders>
            <w:shd w:val="clear" w:color="auto" w:fill="4BACC6"/>
          </w:tcPr>
          <w:p w14:paraId="50DB0899"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7DE5B99C"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Presents information clearly, concisely and confidently when speaking and in writing</w:t>
            </w:r>
          </w:p>
        </w:tc>
      </w:tr>
      <w:tr w:rsidR="004A3BEF" w:rsidRPr="00345905" w14:paraId="77EF17B4" w14:textId="77777777" w:rsidTr="00A76875">
        <w:trPr>
          <w:jc w:val="center"/>
        </w:trPr>
        <w:tc>
          <w:tcPr>
            <w:tcW w:w="1843" w:type="dxa"/>
            <w:vMerge/>
            <w:tcBorders>
              <w:left w:val="nil"/>
              <w:bottom w:val="nil"/>
              <w:right w:val="nil"/>
            </w:tcBorders>
            <w:shd w:val="clear" w:color="auto" w:fill="4BACC6"/>
          </w:tcPr>
          <w:p w14:paraId="54AA45F3"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234A641B"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796B4F">
              <w:rPr>
                <w:rFonts w:ascii="Calibri" w:eastAsia="Calibri" w:hAnsi="Calibri" w:cs="Arial"/>
                <w:color w:val="000000"/>
                <w:sz w:val="17"/>
                <w:szCs w:val="17"/>
              </w:rPr>
              <w:t>Collaborates and supports colleagues to achieve organisational goals</w:t>
            </w:r>
          </w:p>
        </w:tc>
      </w:tr>
      <w:tr w:rsidR="004A3BEF" w:rsidRPr="00345905" w14:paraId="08ADFFDD" w14:textId="77777777" w:rsidTr="00A76875">
        <w:trPr>
          <w:trHeight w:val="547"/>
          <w:jc w:val="center"/>
        </w:trPr>
        <w:tc>
          <w:tcPr>
            <w:tcW w:w="1843" w:type="dxa"/>
            <w:vMerge w:val="restart"/>
            <w:tcBorders>
              <w:top w:val="nil"/>
              <w:left w:val="single" w:sz="4" w:space="0" w:color="FFFFFF"/>
              <w:right w:val="single" w:sz="4" w:space="0" w:color="FFFFFF"/>
            </w:tcBorders>
            <w:shd w:val="clear" w:color="auto" w:fill="9BBB59"/>
          </w:tcPr>
          <w:p w14:paraId="2A6D4190"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Specialist Knowledge, Expertise and Self Development</w:t>
            </w:r>
          </w:p>
        </w:tc>
        <w:tc>
          <w:tcPr>
            <w:tcW w:w="8647" w:type="dxa"/>
            <w:tcBorders>
              <w:top w:val="single" w:sz="4" w:space="0" w:color="FFFFFF"/>
              <w:left w:val="single" w:sz="4" w:space="0" w:color="FFFFFF"/>
              <w:bottom w:val="single" w:sz="4" w:space="0" w:color="C2D69B"/>
              <w:right w:val="single" w:sz="4" w:space="0" w:color="FFFFFF"/>
            </w:tcBorders>
            <w:shd w:val="clear" w:color="auto" w:fill="EAF1DD"/>
          </w:tcPr>
          <w:p w14:paraId="3C78FDD1"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Has a clear understanding of the roles, objectives and targets of self and team and how they fit into the work of the unit and Department/ Organisation and effectively communicates this to others</w:t>
            </w:r>
          </w:p>
        </w:tc>
      </w:tr>
      <w:tr w:rsidR="004A3BEF" w:rsidRPr="00345905" w14:paraId="372D5ADB" w14:textId="77777777" w:rsidTr="00A76875">
        <w:trPr>
          <w:trHeight w:val="428"/>
          <w:jc w:val="center"/>
        </w:trPr>
        <w:tc>
          <w:tcPr>
            <w:tcW w:w="1843" w:type="dxa"/>
            <w:vMerge/>
            <w:tcBorders>
              <w:left w:val="single" w:sz="4" w:space="0" w:color="FFFFFF"/>
              <w:right w:val="single" w:sz="4" w:space="0" w:color="FFFFFF"/>
            </w:tcBorders>
            <w:shd w:val="clear" w:color="auto" w:fill="9BBB59"/>
          </w:tcPr>
          <w:p w14:paraId="163D78F6"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tcPr>
          <w:p w14:paraId="4F562745"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Has high levels of expertise and broad Public Sector knowledge relevant to his/her area of work</w:t>
            </w:r>
          </w:p>
        </w:tc>
      </w:tr>
      <w:tr w:rsidR="004A3BEF" w:rsidRPr="00345905" w14:paraId="4BE8E44B" w14:textId="77777777" w:rsidTr="00A76875">
        <w:trPr>
          <w:jc w:val="center"/>
        </w:trPr>
        <w:tc>
          <w:tcPr>
            <w:tcW w:w="1843" w:type="dxa"/>
            <w:vMerge/>
            <w:tcBorders>
              <w:left w:val="single" w:sz="4" w:space="0" w:color="FFFFFF"/>
              <w:bottom w:val="single" w:sz="4" w:space="0" w:color="FFFFFF"/>
              <w:right w:val="single" w:sz="4" w:space="0" w:color="FFFFFF"/>
            </w:tcBorders>
            <w:shd w:val="clear" w:color="auto" w:fill="9BBB59"/>
          </w:tcPr>
          <w:p w14:paraId="620366C3"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FFFFFF"/>
              <w:right w:val="single" w:sz="4" w:space="0" w:color="FFFFFF"/>
            </w:tcBorders>
            <w:shd w:val="clear" w:color="auto" w:fill="EAF1DD"/>
          </w:tcPr>
          <w:p w14:paraId="378A3390"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 xml:space="preserve">Focuses on </w:t>
            </w:r>
            <w:proofErr w:type="spellStart"/>
            <w:r w:rsidRPr="00345905">
              <w:rPr>
                <w:rFonts w:ascii="Calibri" w:eastAsia="Calibri" w:hAnsi="Calibri" w:cs="Arial"/>
                <w:color w:val="000000"/>
                <w:sz w:val="17"/>
                <w:szCs w:val="17"/>
              </w:rPr>
              <w:t>self development</w:t>
            </w:r>
            <w:proofErr w:type="spellEnd"/>
            <w:r w:rsidRPr="00345905">
              <w:rPr>
                <w:rFonts w:ascii="Calibri" w:eastAsia="Calibri" w:hAnsi="Calibri" w:cs="Arial"/>
                <w:color w:val="000000"/>
                <w:sz w:val="17"/>
                <w:szCs w:val="17"/>
              </w:rPr>
              <w:t xml:space="preserve">, striving to improve performance </w:t>
            </w:r>
          </w:p>
        </w:tc>
      </w:tr>
      <w:tr w:rsidR="004A3BEF" w:rsidRPr="00345905" w14:paraId="4E52FFBD" w14:textId="77777777" w:rsidTr="00A76875">
        <w:trPr>
          <w:jc w:val="center"/>
        </w:trPr>
        <w:tc>
          <w:tcPr>
            <w:tcW w:w="1843" w:type="dxa"/>
            <w:vMerge w:val="restart"/>
            <w:tcBorders>
              <w:top w:val="single" w:sz="4" w:space="0" w:color="FFFFFF"/>
              <w:left w:val="single" w:sz="4" w:space="0" w:color="FFFFFF"/>
              <w:right w:val="single" w:sz="4" w:space="0" w:color="FFFFFF"/>
            </w:tcBorders>
            <w:shd w:val="clear" w:color="auto" w:fill="8064A2"/>
          </w:tcPr>
          <w:p w14:paraId="408AE7F0"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Drive &amp; Commitment to Public Service Values</w:t>
            </w:r>
          </w:p>
        </w:tc>
        <w:tc>
          <w:tcPr>
            <w:tcW w:w="8647" w:type="dxa"/>
            <w:tcBorders>
              <w:top w:val="single" w:sz="4" w:space="0" w:color="FFFFFF"/>
              <w:left w:val="single" w:sz="4" w:space="0" w:color="FFFFFF"/>
              <w:bottom w:val="single" w:sz="4" w:space="0" w:color="B2A1C7"/>
              <w:right w:val="single" w:sz="4" w:space="0" w:color="FFFFFF"/>
            </w:tcBorders>
            <w:shd w:val="clear" w:color="auto" w:fill="E5DFEC"/>
          </w:tcPr>
          <w:p w14:paraId="2BF0C219"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Strives to perform at a high level, investing significant energy to achieve agreed objectives</w:t>
            </w:r>
          </w:p>
        </w:tc>
      </w:tr>
      <w:tr w:rsidR="004A3BEF" w:rsidRPr="00345905" w14:paraId="20C8C64E" w14:textId="77777777" w:rsidTr="00A76875">
        <w:trPr>
          <w:jc w:val="center"/>
        </w:trPr>
        <w:tc>
          <w:tcPr>
            <w:tcW w:w="1843" w:type="dxa"/>
            <w:vMerge/>
            <w:tcBorders>
              <w:left w:val="single" w:sz="4" w:space="0" w:color="FFFFFF"/>
              <w:right w:val="single" w:sz="4" w:space="0" w:color="FFFFFF"/>
            </w:tcBorders>
            <w:shd w:val="clear" w:color="auto" w:fill="8064A2"/>
          </w:tcPr>
          <w:p w14:paraId="6129DA83"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1DB0C02A"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Demonstrates resilience in the face of challenging circumstances and high demands</w:t>
            </w:r>
          </w:p>
        </w:tc>
      </w:tr>
      <w:tr w:rsidR="004A3BEF" w:rsidRPr="00345905" w14:paraId="212B79C1" w14:textId="77777777" w:rsidTr="00A76875">
        <w:trPr>
          <w:jc w:val="center"/>
        </w:trPr>
        <w:tc>
          <w:tcPr>
            <w:tcW w:w="1843" w:type="dxa"/>
            <w:vMerge/>
            <w:tcBorders>
              <w:left w:val="single" w:sz="4" w:space="0" w:color="FFFFFF"/>
              <w:right w:val="single" w:sz="4" w:space="0" w:color="FFFFFF"/>
            </w:tcBorders>
            <w:shd w:val="clear" w:color="auto" w:fill="8064A2"/>
          </w:tcPr>
          <w:p w14:paraId="516C56E8"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444EE171"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Is personally trustworthy and can be relied upon</w:t>
            </w:r>
          </w:p>
        </w:tc>
      </w:tr>
      <w:tr w:rsidR="004A3BEF" w:rsidRPr="00345905" w14:paraId="71423834" w14:textId="77777777" w:rsidTr="00A76875">
        <w:trPr>
          <w:jc w:val="center"/>
        </w:trPr>
        <w:tc>
          <w:tcPr>
            <w:tcW w:w="1843" w:type="dxa"/>
            <w:vMerge/>
            <w:tcBorders>
              <w:left w:val="single" w:sz="4" w:space="0" w:color="FFFFFF"/>
              <w:right w:val="single" w:sz="4" w:space="0" w:color="FFFFFF"/>
            </w:tcBorders>
            <w:shd w:val="clear" w:color="auto" w:fill="8064A2"/>
          </w:tcPr>
          <w:p w14:paraId="1BEAA274"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1366FE9B"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Ensures that customers are at the heart of all services provided</w:t>
            </w:r>
          </w:p>
        </w:tc>
      </w:tr>
      <w:tr w:rsidR="004A3BEF" w:rsidRPr="00345905" w14:paraId="2231A25D" w14:textId="77777777" w:rsidTr="00A76875">
        <w:trPr>
          <w:jc w:val="center"/>
        </w:trPr>
        <w:tc>
          <w:tcPr>
            <w:tcW w:w="1843" w:type="dxa"/>
            <w:vMerge/>
            <w:tcBorders>
              <w:left w:val="single" w:sz="4" w:space="0" w:color="FFFFFF"/>
              <w:right w:val="single" w:sz="4" w:space="0" w:color="FFFFFF"/>
            </w:tcBorders>
            <w:shd w:val="clear" w:color="auto" w:fill="8064A2"/>
          </w:tcPr>
          <w:p w14:paraId="14731010" w14:textId="77777777" w:rsidR="004A3BEF" w:rsidRPr="00345905" w:rsidRDefault="004A3BEF" w:rsidP="00A76875">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1D3C0251" w14:textId="77777777" w:rsidR="004A3BEF" w:rsidRPr="00345905" w:rsidRDefault="004A3BEF" w:rsidP="00A76875">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Upholds high standards of honesty, ethics and integrity</w:t>
            </w:r>
          </w:p>
        </w:tc>
      </w:tr>
    </w:tbl>
    <w:p w14:paraId="652E8174" w14:textId="77777777" w:rsidR="004A3BEF" w:rsidRPr="000F2327" w:rsidRDefault="004A3BEF" w:rsidP="004A3BEF">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sectPr w:rsidR="004A3BEF" w:rsidRPr="000F2327" w:rsidSect="0031357E">
      <w:headerReference w:type="default" r:id="rId11"/>
      <w:footerReference w:type="even" r:id="rId12"/>
      <w:footerReference w:type="default" r:id="rId13"/>
      <w:footerReference w:type="first" r:id="rId14"/>
      <w:type w:val="continuous"/>
      <w:pgSz w:w="11920" w:h="16840"/>
      <w:pgMar w:top="720" w:right="720" w:bottom="720" w:left="720" w:header="720" w:footer="720" w:gutter="0"/>
      <w:cols w:space="953"/>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63C0DDCF" w16cid:durableId="280CA397"/>
  <w16cid:commentId w16cid:paraId="53831713" w16cid:durableId="280CA398"/>
  <w16cid:commentId w16cid:paraId="50749243" w16cid:durableId="280CA399"/>
  <w16cid:commentId w16cid:paraId="07AB8FBD" w16cid:durableId="243E41B4"/>
  <w16cid:commentId w16cid:paraId="067CC305" w16cid:durableId="243F99AB"/>
  <w16cid:commentId w16cid:paraId="1AC6DE83" w16cid:durableId="280CA39C"/>
  <w16cid:commentId w16cid:paraId="4A138005" w16cid:durableId="280CA39D"/>
  <w16cid:commentId w16cid:paraId="14EF2B8A" w16cid:durableId="241B038F"/>
  <w16cid:commentId w16cid:paraId="1EFBBA29" w16cid:durableId="280CA39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40C4ECA6" w16cid:durableId="280CA3A6"/>
  <w16cid:commentId w16cid:paraId="020FC1F6" w16cid:durableId="241B0073"/>
  <w16cid:commentId w16cid:paraId="599D27E6" w16cid:durableId="243F9BA5"/>
  <w16cid:commentId w16cid:paraId="755235FD" w16cid:durableId="241B00D0"/>
  <w16cid:commentId w16cid:paraId="49105D84" w16cid:durableId="280CA3AA"/>
  <w16cid:commentId w16cid:paraId="3F1CB3D6" w16cid:durableId="280CA3AB"/>
  <w16cid:commentId w16cid:paraId="7F1A9A1F" w16cid:durableId="243F9BC4"/>
  <w16cid:commentId w16cid:paraId="20A200E6" w16cid:durableId="243F9BE5"/>
  <w16cid:commentId w16cid:paraId="3B960A39" w16cid:durableId="241B01B5"/>
  <w16cid:commentId w16cid:paraId="156F8EA9" w16cid:durableId="241B01F0"/>
  <w16cid:commentId w16cid:paraId="044FA851" w16cid:durableId="241B0278"/>
  <w16cid:commentId w16cid:paraId="598DF91F" w16cid:durableId="280CA3B1"/>
  <w16cid:commentId w16cid:paraId="69CC2612" w16cid:durableId="241B029F"/>
  <w16cid:commentId w16cid:paraId="5BABFEA8" w16cid:durableId="280CA3B3"/>
  <w16cid:commentId w16cid:paraId="14C3444D" w16cid:durableId="241B02C0"/>
  <w16cid:commentId w16cid:paraId="479E8D3E" w16cid:durableId="280CA3B5"/>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DCFF" w14:textId="330C1BDB" w:rsidR="0031357E" w:rsidRDefault="00E72331" w:rsidP="00E72331">
    <w:pPr>
      <w:jc w:val="center"/>
      <w:rPr>
        <w:b/>
        <w:spacing w:val="-2"/>
        <w:sz w:val="16"/>
        <w:szCs w:val="16"/>
        <w:lang w:val="en-IE"/>
      </w:rPr>
    </w:pPr>
    <w:r>
      <w:rPr>
        <w:b/>
        <w:spacing w:val="-2"/>
        <w:sz w:val="16"/>
        <w:szCs w:val="16"/>
        <w:lang w:val="en-IE"/>
      </w:rPr>
      <w:t>Senior Transport Regulation Executive Officer</w:t>
    </w:r>
  </w:p>
  <w:p w14:paraId="6E9B1E0B" w14:textId="77777777"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67AA9E1A" w:rsidR="0031357E" w:rsidRDefault="0031357E">
    <w:pPr>
      <w:pStyle w:val="Header"/>
      <w:jc w:val="right"/>
    </w:pPr>
    <w:r>
      <w:fldChar w:fldCharType="begin"/>
    </w:r>
    <w:r>
      <w:instrText xml:space="preserve"> PAGE   \* MERGEFORMAT </w:instrText>
    </w:r>
    <w:r>
      <w:fldChar w:fldCharType="separate"/>
    </w:r>
    <w:r w:rsidR="00986F03">
      <w:rPr>
        <w:noProof/>
      </w:rPr>
      <w:t>7</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1"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7600B"/>
    <w:multiLevelType w:val="hybridMultilevel"/>
    <w:tmpl w:val="8A10F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DD677D"/>
    <w:multiLevelType w:val="hybridMultilevel"/>
    <w:tmpl w:val="C12AF6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4B2655"/>
    <w:multiLevelType w:val="hybridMultilevel"/>
    <w:tmpl w:val="3C061A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5ED555AB"/>
    <w:multiLevelType w:val="hybridMultilevel"/>
    <w:tmpl w:val="B07AB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AE52C70"/>
    <w:multiLevelType w:val="hybridMultilevel"/>
    <w:tmpl w:val="09A093BC"/>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FA70AF5"/>
    <w:multiLevelType w:val="hybridMultilevel"/>
    <w:tmpl w:val="1422A9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8"/>
  </w:num>
  <w:num w:numId="6">
    <w:abstractNumId w:val="2"/>
  </w:num>
  <w:num w:numId="7">
    <w:abstractNumId w:val="12"/>
  </w:num>
  <w:num w:numId="8">
    <w:abstractNumId w:val="10"/>
  </w:num>
  <w:num w:numId="9">
    <w:abstractNumId w:val="5"/>
  </w:num>
  <w:num w:numId="10">
    <w:abstractNumId w:val="3"/>
  </w:num>
  <w:num w:numId="11">
    <w:abstractNumId w:val="6"/>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425F"/>
    <w:rsid w:val="0001518A"/>
    <w:rsid w:val="00016AB1"/>
    <w:rsid w:val="00016D42"/>
    <w:rsid w:val="00020353"/>
    <w:rsid w:val="000221CF"/>
    <w:rsid w:val="00026571"/>
    <w:rsid w:val="000338B2"/>
    <w:rsid w:val="000340BF"/>
    <w:rsid w:val="000365BE"/>
    <w:rsid w:val="00036B62"/>
    <w:rsid w:val="00043D2D"/>
    <w:rsid w:val="00043F89"/>
    <w:rsid w:val="00045BAB"/>
    <w:rsid w:val="00051CDC"/>
    <w:rsid w:val="00052D86"/>
    <w:rsid w:val="00055BD3"/>
    <w:rsid w:val="00055C5A"/>
    <w:rsid w:val="000569B6"/>
    <w:rsid w:val="00063208"/>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245"/>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6D3"/>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BEF"/>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47A4B"/>
    <w:rsid w:val="00850D70"/>
    <w:rsid w:val="0085333D"/>
    <w:rsid w:val="00854731"/>
    <w:rsid w:val="00854F9F"/>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86F03"/>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3A81"/>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2C65"/>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75B1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331"/>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2"/>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3"/>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about-us/careers/"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3.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5AD7-6315-49C0-9550-D0B77569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1942</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14198</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7</cp:revision>
  <cp:lastPrinted>2020-02-17T16:01:00Z</cp:lastPrinted>
  <dcterms:created xsi:type="dcterms:W3CDTF">2024-03-14T11:23:00Z</dcterms:created>
  <dcterms:modified xsi:type="dcterms:W3CDTF">2024-03-14T16:47:00Z</dcterms:modified>
</cp:coreProperties>
</file>