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4A3" w:rsidRDefault="00F554A3" w:rsidP="00EE426C">
      <w:pPr>
        <w:pStyle w:val="author"/>
        <w:rPr>
          <w:b/>
          <w:sz w:val="28"/>
          <w:szCs w:val="28"/>
        </w:rPr>
      </w:pPr>
      <w:r w:rsidRPr="00F554A3">
        <w:rPr>
          <w:b/>
          <w:sz w:val="28"/>
          <w:szCs w:val="28"/>
        </w:rPr>
        <w:t xml:space="preserve">Developing Connectivity Tools: Improving Urban Spaces with the assistance of Connectivity Analysis </w:t>
      </w:r>
    </w:p>
    <w:p w:rsidR="005513B0" w:rsidRPr="005513B0" w:rsidRDefault="005513B0" w:rsidP="005513B0">
      <w:pPr>
        <w:pStyle w:val="address"/>
      </w:pPr>
    </w:p>
    <w:p w:rsidR="008C5382" w:rsidRPr="00EE426C" w:rsidRDefault="00635C74" w:rsidP="00EE426C">
      <w:pPr>
        <w:pStyle w:val="author"/>
      </w:pPr>
      <w:r>
        <w:t>Deborah John</w:t>
      </w:r>
      <w:r w:rsidR="004D254C">
        <w:t xml:space="preserve"> </w:t>
      </w:r>
      <w:r w:rsidR="009B2539" w:rsidRPr="00EE426C">
        <w:rPr>
          <w:vertAlign w:val="superscript"/>
        </w:rPr>
        <w:t>1</w:t>
      </w:r>
      <w:r w:rsidR="009B2539">
        <w:rPr>
          <w:rStyle w:val="ORCID"/>
        </w:rPr>
        <w:t>[0000-1111-2222-3333]</w:t>
      </w:r>
      <w:r w:rsidR="009B2539" w:rsidRPr="00EE426C">
        <w:t xml:space="preserve"> and </w:t>
      </w:r>
      <w:r>
        <w:t>Barry O’Neill</w:t>
      </w:r>
      <w:r w:rsidR="004D254C">
        <w:t xml:space="preserve"> </w:t>
      </w:r>
      <w:r w:rsidR="009B2539" w:rsidRPr="00EE426C">
        <w:rPr>
          <w:vertAlign w:val="superscript"/>
        </w:rPr>
        <w:t>2</w:t>
      </w:r>
      <w:r w:rsidR="009B2539">
        <w:rPr>
          <w:rStyle w:val="ORCID"/>
        </w:rPr>
        <w:t>[1111-2222-3333-4444]</w:t>
      </w:r>
    </w:p>
    <w:p w:rsidR="008C5382" w:rsidRPr="00EE426C" w:rsidRDefault="009B2539" w:rsidP="00EE426C">
      <w:pPr>
        <w:pStyle w:val="address"/>
      </w:pPr>
      <w:r w:rsidRPr="00EE426C">
        <w:rPr>
          <w:vertAlign w:val="superscript"/>
        </w:rPr>
        <w:t>1</w:t>
      </w:r>
      <w:r w:rsidRPr="00EE426C">
        <w:t xml:space="preserve"> </w:t>
      </w:r>
      <w:r w:rsidR="00635C74" w:rsidRPr="005132FB">
        <w:t>National Transport Authority, Dublin, Ireland</w:t>
      </w:r>
    </w:p>
    <w:p w:rsidR="008C5382" w:rsidRDefault="009B2539" w:rsidP="006809AE">
      <w:pPr>
        <w:pStyle w:val="address"/>
        <w:rPr>
          <w:rStyle w:val="e-mail"/>
        </w:rPr>
      </w:pPr>
      <w:r w:rsidRPr="006809AE">
        <w:rPr>
          <w:vertAlign w:val="superscript"/>
        </w:rPr>
        <w:t>2</w:t>
      </w:r>
      <w:r w:rsidRPr="006809AE">
        <w:t xml:space="preserve"> </w:t>
      </w:r>
      <w:r w:rsidR="00635C74">
        <w:t>Compass Informatics</w:t>
      </w:r>
      <w:r w:rsidR="00635C74" w:rsidRPr="005132FB">
        <w:t>, Dublin, Ireland</w:t>
      </w:r>
      <w:r w:rsidRPr="006809AE">
        <w:br/>
      </w:r>
      <w:hyperlink r:id="rId9" w:history="1">
        <w:r w:rsidR="00C165CA" w:rsidRPr="008D5305">
          <w:rPr>
            <w:rStyle w:val="Hyperlink"/>
            <w:rFonts w:ascii="Courier" w:hAnsi="Courier"/>
            <w:noProof/>
          </w:rPr>
          <w:t>deborah.john@nationaltransport.ie</w:t>
        </w:r>
      </w:hyperlink>
    </w:p>
    <w:p w:rsidR="00C165CA" w:rsidRPr="006809AE" w:rsidRDefault="00C165CA" w:rsidP="006809AE">
      <w:pPr>
        <w:pStyle w:val="address"/>
      </w:pPr>
      <w:r>
        <w:rPr>
          <w:rStyle w:val="e-mail"/>
        </w:rPr>
        <w:t>boneill@compass.ie</w:t>
      </w:r>
    </w:p>
    <w:p w:rsidR="004D254C" w:rsidRPr="004D254C" w:rsidRDefault="009B2539" w:rsidP="004D254C">
      <w:pPr>
        <w:pStyle w:val="NormalWeb"/>
        <w:spacing w:before="0" w:beforeAutospacing="0" w:after="0" w:afterAutospacing="0"/>
        <w:jc w:val="both"/>
        <w:rPr>
          <w:color w:val="0E101A"/>
          <w:sz w:val="18"/>
          <w:szCs w:val="18"/>
        </w:rPr>
      </w:pPr>
      <w:r w:rsidRPr="00EE426C">
        <w:rPr>
          <w:b/>
          <w:bCs/>
        </w:rPr>
        <w:t xml:space="preserve">Abstract. </w:t>
      </w:r>
      <w:r w:rsidR="004D254C" w:rsidRPr="004D254C">
        <w:rPr>
          <w:color w:val="0E101A"/>
          <w:sz w:val="18"/>
          <w:szCs w:val="18"/>
        </w:rPr>
        <w:t xml:space="preserve">Since 2022, Ireland’s National Transport Authority (NTA) have been developing web-based tools that are capable of undertaking connectivity assessments of settlements throughout Ireland. These tools have the opportunity to greatly enhance land use and transport planning decision making processes, and it is the intention of the NTA to introduce them as a standardised approach to connectivity analysis for use by Local Authorities and Government Bodies.  </w:t>
      </w:r>
    </w:p>
    <w:p w:rsidR="004D254C" w:rsidRPr="004D254C" w:rsidRDefault="004D254C" w:rsidP="004D254C">
      <w:pPr>
        <w:pStyle w:val="NormalWeb"/>
        <w:spacing w:before="0" w:beforeAutospacing="0" w:after="0" w:afterAutospacing="0"/>
        <w:jc w:val="both"/>
        <w:rPr>
          <w:color w:val="0E101A"/>
          <w:sz w:val="18"/>
          <w:szCs w:val="18"/>
        </w:rPr>
      </w:pPr>
    </w:p>
    <w:p w:rsidR="004D254C" w:rsidRPr="004D254C" w:rsidRDefault="004D254C" w:rsidP="004D254C">
      <w:pPr>
        <w:pStyle w:val="NormalWeb"/>
        <w:spacing w:before="0" w:beforeAutospacing="0" w:after="0" w:afterAutospacing="0"/>
        <w:jc w:val="both"/>
        <w:rPr>
          <w:color w:val="0E101A"/>
          <w:sz w:val="18"/>
          <w:szCs w:val="18"/>
        </w:rPr>
      </w:pPr>
      <w:r w:rsidRPr="004D254C">
        <w:rPr>
          <w:color w:val="0E101A"/>
          <w:sz w:val="18"/>
          <w:szCs w:val="18"/>
        </w:rPr>
        <w:t xml:space="preserve">The tools highlight opportunities and constraints for sustainable modes within existing transport networks, while also offering the potential to explore </w:t>
      </w:r>
      <w:r w:rsidR="00F514DC">
        <w:rPr>
          <w:color w:val="0E101A"/>
          <w:sz w:val="18"/>
          <w:szCs w:val="18"/>
        </w:rPr>
        <w:t>improved</w:t>
      </w:r>
      <w:r w:rsidRPr="004D254C">
        <w:rPr>
          <w:color w:val="0E101A"/>
          <w:sz w:val="18"/>
          <w:szCs w:val="18"/>
        </w:rPr>
        <w:t xml:space="preserve"> options. The application of these tools in the development of Local Transport Plans assists in the </w:t>
      </w:r>
      <w:r w:rsidR="006F135B">
        <w:rPr>
          <w:color w:val="0E101A"/>
          <w:sz w:val="18"/>
          <w:szCs w:val="18"/>
        </w:rPr>
        <w:t>improved</w:t>
      </w:r>
      <w:r w:rsidRPr="004D254C">
        <w:rPr>
          <w:color w:val="0E101A"/>
          <w:sz w:val="18"/>
          <w:szCs w:val="18"/>
        </w:rPr>
        <w:t xml:space="preserve"> design of urban spaces by bringing active modes and permeability to the forefront of the planning process.</w:t>
      </w:r>
    </w:p>
    <w:p w:rsidR="004D254C" w:rsidRPr="004D254C" w:rsidRDefault="004D254C" w:rsidP="004D254C">
      <w:pPr>
        <w:pStyle w:val="NormalWeb"/>
        <w:spacing w:before="0" w:beforeAutospacing="0" w:after="0" w:afterAutospacing="0"/>
        <w:jc w:val="both"/>
        <w:rPr>
          <w:color w:val="0E101A"/>
          <w:sz w:val="18"/>
          <w:szCs w:val="18"/>
        </w:rPr>
      </w:pPr>
    </w:p>
    <w:p w:rsidR="008C5382" w:rsidRPr="004D254C" w:rsidRDefault="004D254C" w:rsidP="004D254C">
      <w:pPr>
        <w:pStyle w:val="NormalWeb"/>
        <w:spacing w:before="0" w:beforeAutospacing="0" w:after="0" w:afterAutospacing="0"/>
        <w:jc w:val="both"/>
        <w:rPr>
          <w:color w:val="0E101A"/>
          <w:sz w:val="18"/>
          <w:szCs w:val="18"/>
        </w:rPr>
      </w:pPr>
      <w:r w:rsidRPr="004D254C">
        <w:rPr>
          <w:color w:val="0E101A"/>
          <w:sz w:val="18"/>
          <w:szCs w:val="18"/>
        </w:rPr>
        <w:t xml:space="preserve">These toolkits are now widely used amongst Local Authorities </w:t>
      </w:r>
      <w:r w:rsidR="00BD51CA">
        <w:rPr>
          <w:color w:val="0E101A"/>
          <w:sz w:val="18"/>
          <w:szCs w:val="18"/>
        </w:rPr>
        <w:t>during</w:t>
      </w:r>
      <w:r w:rsidRPr="004D254C">
        <w:rPr>
          <w:color w:val="0E101A"/>
          <w:sz w:val="18"/>
          <w:szCs w:val="18"/>
        </w:rPr>
        <w:t xml:space="preserve"> development of </w:t>
      </w:r>
      <w:r w:rsidR="00BD51CA">
        <w:rPr>
          <w:color w:val="0E101A"/>
          <w:sz w:val="18"/>
          <w:szCs w:val="18"/>
        </w:rPr>
        <w:t xml:space="preserve">their </w:t>
      </w:r>
      <w:r w:rsidRPr="004D254C">
        <w:rPr>
          <w:color w:val="0E101A"/>
          <w:sz w:val="18"/>
          <w:szCs w:val="18"/>
        </w:rPr>
        <w:t xml:space="preserve">Local Transport </w:t>
      </w:r>
      <w:r w:rsidR="00F73DD3" w:rsidRPr="004D254C">
        <w:rPr>
          <w:color w:val="0E101A"/>
          <w:sz w:val="18"/>
          <w:szCs w:val="18"/>
        </w:rPr>
        <w:t>Plans</w:t>
      </w:r>
      <w:r w:rsidR="00F73DD3">
        <w:rPr>
          <w:color w:val="0E101A"/>
          <w:sz w:val="18"/>
          <w:szCs w:val="18"/>
        </w:rPr>
        <w:t xml:space="preserve"> and</w:t>
      </w:r>
      <w:r w:rsidR="00BD51CA">
        <w:rPr>
          <w:color w:val="0E101A"/>
          <w:sz w:val="18"/>
          <w:szCs w:val="18"/>
        </w:rPr>
        <w:t xml:space="preserve"> have also attracted </w:t>
      </w:r>
      <w:r w:rsidRPr="004D254C">
        <w:rPr>
          <w:color w:val="0E101A"/>
          <w:sz w:val="18"/>
          <w:szCs w:val="18"/>
        </w:rPr>
        <w:t xml:space="preserve">significant interest from Government Departments as they look to establish better ways to promote sustainable development methodologies. </w:t>
      </w:r>
    </w:p>
    <w:p w:rsidR="008C5382" w:rsidRPr="004D254C" w:rsidRDefault="009B2539" w:rsidP="00EE426C">
      <w:pPr>
        <w:pStyle w:val="keywords"/>
        <w:rPr>
          <w:szCs w:val="18"/>
        </w:rPr>
      </w:pPr>
      <w:r w:rsidRPr="00EE426C">
        <w:rPr>
          <w:b/>
          <w:bCs/>
        </w:rPr>
        <w:t>Keywords:</w:t>
      </w:r>
      <w:r w:rsidRPr="00EE426C">
        <w:t xml:space="preserve"> </w:t>
      </w:r>
      <w:r w:rsidR="004D254C" w:rsidRPr="004D254C">
        <w:rPr>
          <w:color w:val="0E101A"/>
          <w:szCs w:val="18"/>
        </w:rPr>
        <w:t>Connectivity; Sustainable Transport; Web based Assessment; Public Realm; Local Transport Plans</w:t>
      </w:r>
      <w:r w:rsidRPr="004D254C">
        <w:rPr>
          <w:szCs w:val="18"/>
        </w:rPr>
        <w:t>.</w:t>
      </w:r>
    </w:p>
    <w:p w:rsidR="00F554A3" w:rsidRPr="00F554A3" w:rsidRDefault="00F554A3" w:rsidP="00F554A3">
      <w:pPr>
        <w:pStyle w:val="heading1"/>
      </w:pPr>
      <w:r>
        <w:t>Introduction</w:t>
      </w:r>
    </w:p>
    <w:p w:rsidR="00071631" w:rsidRDefault="005513B0" w:rsidP="00071631">
      <w:pPr>
        <w:pStyle w:val="p1a"/>
      </w:pPr>
      <w:r>
        <w:t xml:space="preserve">The NTA </w:t>
      </w:r>
      <w:r w:rsidR="00DD4DB1">
        <w:t>has</w:t>
      </w:r>
      <w:r>
        <w:t xml:space="preserve"> for many years recognized the importance of measuring connectivity to both Public Transport</w:t>
      </w:r>
      <w:r w:rsidR="00A94685">
        <w:t xml:space="preserve"> (PT)</w:t>
      </w:r>
      <w:r>
        <w:t xml:space="preserve"> services and local opportunities and services.  Until recently this analysis has been carried out</w:t>
      </w:r>
      <w:r w:rsidR="000000AB">
        <w:t xml:space="preserve"> on a relatively ad-hoc basis. The NTA came to realize that to gain the maximum benefit from this type of analysis, a </w:t>
      </w:r>
      <w:r w:rsidR="00F0759B">
        <w:t>standardized</w:t>
      </w:r>
      <w:r w:rsidR="000000AB">
        <w:t xml:space="preserve"> method was </w:t>
      </w:r>
      <w:r w:rsidR="00D20CF4">
        <w:t>required</w:t>
      </w:r>
      <w:r w:rsidR="00217DF1">
        <w:t>; o</w:t>
      </w:r>
      <w:r w:rsidR="000000AB">
        <w:t>ne that could be used by a wide range of organizations</w:t>
      </w:r>
      <w:r w:rsidR="002A3160">
        <w:t>,</w:t>
      </w:r>
      <w:r w:rsidR="000000AB">
        <w:t xml:space="preserve"> and that had at its core centrally managed base data.</w:t>
      </w:r>
      <w:r w:rsidR="00071631">
        <w:t xml:space="preserve"> </w:t>
      </w:r>
    </w:p>
    <w:p w:rsidR="00071631" w:rsidRPr="00071631" w:rsidRDefault="00071631" w:rsidP="00071631">
      <w:pPr>
        <w:ind w:firstLine="0"/>
      </w:pPr>
    </w:p>
    <w:p w:rsidR="00071631" w:rsidRDefault="000000AB" w:rsidP="00071631">
      <w:pPr>
        <w:pStyle w:val="p1a"/>
      </w:pPr>
      <w:r>
        <w:t xml:space="preserve">Transport for London’s </w:t>
      </w:r>
      <w:r w:rsidR="00DB0E4D">
        <w:t>‘</w:t>
      </w:r>
      <w:r>
        <w:t>Assessing transport connectivity in London</w:t>
      </w:r>
      <w:r w:rsidR="00DB0E4D">
        <w:t>’</w:t>
      </w:r>
      <w:r>
        <w:t xml:space="preserve"> [1] provided</w:t>
      </w:r>
      <w:r w:rsidR="004A5E80">
        <w:t xml:space="preserve"> a so</w:t>
      </w:r>
      <w:r w:rsidR="00DB0E4D">
        <w:t>und basis for the methodology and the NTA have adapted two of the toolkits for the Irish market.  The NTA wished to use these tools both for analysis within Metropolitan areas but also more widely, in smaller regional towns.</w:t>
      </w:r>
    </w:p>
    <w:p w:rsidR="00071631" w:rsidRPr="00071631" w:rsidRDefault="00071631" w:rsidP="00071631"/>
    <w:p w:rsidR="00DB0E4D" w:rsidRDefault="00DB0E4D" w:rsidP="00351B23">
      <w:pPr>
        <w:ind w:firstLine="0"/>
      </w:pPr>
      <w:r>
        <w:t xml:space="preserve">The first tool developed was the </w:t>
      </w:r>
      <w:r w:rsidR="00A94685">
        <w:t>Public Transport Accessibility Level (</w:t>
      </w:r>
      <w:r>
        <w:t>PTAL</w:t>
      </w:r>
      <w:r w:rsidR="00A94685">
        <w:t>)</w:t>
      </w:r>
      <w:r>
        <w:t xml:space="preserve"> tool.</w:t>
      </w:r>
      <w:r w:rsidR="00A94685">
        <w:t xml:space="preserve"> </w:t>
      </w:r>
      <w:r>
        <w:t>This tool measure</w:t>
      </w:r>
      <w:r w:rsidR="000214F6">
        <w:t>s</w:t>
      </w:r>
      <w:r>
        <w:t xml:space="preserve"> the distance to a local PT stop and scores that stop based on its walk distance combined with the level of service at the stop. </w:t>
      </w:r>
      <w:r w:rsidR="004356E4">
        <w:t xml:space="preserve">Combining the results of this </w:t>
      </w:r>
      <w:r w:rsidR="004356E4">
        <w:lastRenderedPageBreak/>
        <w:t>tool with additional land use data can highlight areas that are either in need of additional Public Transport services or would benefit from alternative land use zoning.</w:t>
      </w:r>
    </w:p>
    <w:p w:rsidR="00071631" w:rsidRDefault="00071631" w:rsidP="00351B23">
      <w:pPr>
        <w:ind w:firstLine="0"/>
      </w:pPr>
    </w:p>
    <w:p w:rsidR="00B16E94" w:rsidRDefault="00B16E94" w:rsidP="00930EB3">
      <w:pPr>
        <w:ind w:firstLine="0"/>
      </w:pPr>
      <w:r>
        <w:t>The second tool to be developed was ATOS (</w:t>
      </w:r>
      <w:r w:rsidR="006A039E">
        <w:t>Access</w:t>
      </w:r>
      <w:r>
        <w:t xml:space="preserve"> to </w:t>
      </w:r>
      <w:r w:rsidR="00F4764D">
        <w:t>O</w:t>
      </w:r>
      <w:r>
        <w:t xml:space="preserve">pportunities and </w:t>
      </w:r>
      <w:r w:rsidR="00F4764D">
        <w:t>S</w:t>
      </w:r>
      <w:r>
        <w:t>ervices).  The ATOS tool measures an area</w:t>
      </w:r>
      <w:r w:rsidR="00997727">
        <w:t>’</w:t>
      </w:r>
      <w:r>
        <w:t>s connectivity to services such as Employment, Education, Health Services, Retail and Open Space</w:t>
      </w:r>
      <w:r w:rsidR="005D3EF3">
        <w:t>s</w:t>
      </w:r>
      <w:r>
        <w:t>. It calculates the journey time from grid squares to local services. Each grid is then scored relative to the average journey time for all grid</w:t>
      </w:r>
      <w:r w:rsidR="00074B82">
        <w:t xml:space="preserve"> square</w:t>
      </w:r>
      <w:r>
        <w:t xml:space="preserve">s </w:t>
      </w:r>
      <w:r w:rsidR="00074B82">
        <w:t>with</w:t>
      </w:r>
      <w:r>
        <w:t xml:space="preserve">in the study area. The NTA have, in the first instance, concentrated on walking and cycling connectivity.  </w:t>
      </w:r>
      <w:r w:rsidR="00E445F0">
        <w:t>As with</w:t>
      </w:r>
      <w:r>
        <w:t xml:space="preserve"> the PTAL tool, combining the results of the ATOS tool</w:t>
      </w:r>
      <w:r w:rsidR="005C5501">
        <w:t xml:space="preserve"> with other data such as housing locations can quickly identify areas that are outside an acceptable walk distance to local services.</w:t>
      </w:r>
    </w:p>
    <w:p w:rsidR="00931F57" w:rsidRDefault="00655F27" w:rsidP="00931F57">
      <w:pPr>
        <w:pStyle w:val="heading1"/>
      </w:pPr>
      <w:r>
        <w:t>How the tools work</w:t>
      </w:r>
    </w:p>
    <w:p w:rsidR="009E4E0D" w:rsidRPr="00D210DF" w:rsidRDefault="009A1317" w:rsidP="00CB5CD1">
      <w:pPr>
        <w:pStyle w:val="p1a"/>
        <w:rPr>
          <w:lang w:val="en-GB"/>
        </w:rPr>
      </w:pPr>
      <w:r>
        <w:t>Both the PTAL and ATOS tools were</w:t>
      </w:r>
      <w:r w:rsidR="00913352">
        <w:t xml:space="preserve"> initially developed as </w:t>
      </w:r>
      <w:r w:rsidR="00437773">
        <w:t xml:space="preserve">ArcGIS </w:t>
      </w:r>
      <w:r w:rsidR="00913352">
        <w:t>Python</w:t>
      </w:r>
      <w:r w:rsidR="00437773">
        <w:t xml:space="preserve"> (</w:t>
      </w:r>
      <w:proofErr w:type="spellStart"/>
      <w:r w:rsidR="00437773">
        <w:t>ArcPy</w:t>
      </w:r>
      <w:proofErr w:type="spellEnd"/>
      <w:r w:rsidR="00437773">
        <w:t>)</w:t>
      </w:r>
      <w:r w:rsidR="00913352">
        <w:t xml:space="preserve"> script toolboxes and deployed within </w:t>
      </w:r>
      <w:proofErr w:type="spellStart"/>
      <w:r w:rsidR="00913352">
        <w:t>Esri’s</w:t>
      </w:r>
      <w:proofErr w:type="spellEnd"/>
      <w:r w:rsidR="00913352">
        <w:t xml:space="preserve"> ArcMap</w:t>
      </w:r>
      <w:r w:rsidR="006B7FEE">
        <w:t xml:space="preserve"> and </w:t>
      </w:r>
      <w:proofErr w:type="spellStart"/>
      <w:r w:rsidR="006B7FEE">
        <w:t>ArcPro</w:t>
      </w:r>
      <w:proofErr w:type="spellEnd"/>
      <w:r w:rsidR="00913352">
        <w:t xml:space="preserve"> </w:t>
      </w:r>
      <w:r w:rsidR="00D416D8">
        <w:t>desktop</w:t>
      </w:r>
      <w:r w:rsidR="00961FB6">
        <w:t xml:space="preserve"> GIS</w:t>
      </w:r>
      <w:r w:rsidR="00D416D8">
        <w:t xml:space="preserve"> application</w:t>
      </w:r>
      <w:r w:rsidR="006B7FEE">
        <w:t>s</w:t>
      </w:r>
      <w:r w:rsidR="00893143">
        <w:t xml:space="preserve">, with later versions being deployed as ArcGIS </w:t>
      </w:r>
      <w:proofErr w:type="spellStart"/>
      <w:r w:rsidR="00893143">
        <w:t>geoprocessing</w:t>
      </w:r>
      <w:proofErr w:type="spellEnd"/>
      <w:r w:rsidR="00893143">
        <w:t xml:space="preserve"> </w:t>
      </w:r>
      <w:r w:rsidR="00FC35FE">
        <w:t>service</w:t>
      </w:r>
      <w:r w:rsidR="004A1F02">
        <w:t>s</w:t>
      </w:r>
      <w:r w:rsidR="00A14646">
        <w:t xml:space="preserve"> in ArcGIS Server</w:t>
      </w:r>
      <w:r w:rsidR="00CB5CD1">
        <w:t>.</w:t>
      </w:r>
    </w:p>
    <w:p w:rsidR="001838FE" w:rsidRDefault="00E27D7B" w:rsidP="001838FE">
      <w:pPr>
        <w:pStyle w:val="heading2"/>
      </w:pPr>
      <w:r>
        <w:t>P</w:t>
      </w:r>
      <w:r w:rsidR="009A1317">
        <w:t>ublic Transport Accessibility Level (PTAL)</w:t>
      </w:r>
    </w:p>
    <w:p w:rsidR="008D35CA" w:rsidRDefault="005F2ABE" w:rsidP="008D35CA">
      <w:pPr>
        <w:ind w:firstLine="0"/>
      </w:pPr>
      <w:r w:rsidRPr="005F2ABE">
        <w:t xml:space="preserve">A PTAL is a measure of </w:t>
      </w:r>
      <w:r w:rsidR="00604BF1">
        <w:t>the accessibility of a location to the public transport network</w:t>
      </w:r>
      <w:r w:rsidR="000B5C9D">
        <w:t xml:space="preserve">, </w:t>
      </w:r>
      <w:r w:rsidR="00CD6103">
        <w:t>considering</w:t>
      </w:r>
      <w:r w:rsidR="000B5C9D">
        <w:t xml:space="preserve"> walk access time </w:t>
      </w:r>
      <w:r w:rsidR="006F2FF0">
        <w:t xml:space="preserve">and </w:t>
      </w:r>
      <w:r w:rsidR="00572DCD">
        <w:t>service availability</w:t>
      </w:r>
      <w:r w:rsidRPr="005F2ABE">
        <w:t xml:space="preserve">. For any selected </w:t>
      </w:r>
      <w:r w:rsidR="003758D8">
        <w:t>location</w:t>
      </w:r>
      <w:r w:rsidRPr="005F2ABE">
        <w:t xml:space="preserve">, PTAL suggests how well that </w:t>
      </w:r>
      <w:r w:rsidR="003758D8">
        <w:t>location</w:t>
      </w:r>
      <w:r w:rsidRPr="005F2ABE">
        <w:t xml:space="preserve"> is connected to public transport services. It does not c</w:t>
      </w:r>
      <w:r w:rsidR="00B04DBE">
        <w:t>on</w:t>
      </w:r>
      <w:r w:rsidRPr="005F2ABE">
        <w:t>sider accessibility by car. PTAL values are simple by design</w:t>
      </w:r>
      <w:r w:rsidR="009B3D54">
        <w:t xml:space="preserve">, </w:t>
      </w:r>
      <w:r w:rsidRPr="005F2ABE">
        <w:t>rang</w:t>
      </w:r>
      <w:r w:rsidR="009B3D54">
        <w:t>ing</w:t>
      </w:r>
      <w:r w:rsidRPr="005F2ABE">
        <w:t xml:space="preserve"> from zero to six, with the highest value </w:t>
      </w:r>
      <w:r w:rsidR="00A01750">
        <w:t xml:space="preserve">(6b) </w:t>
      </w:r>
      <w:r w:rsidRPr="005F2ABE">
        <w:t>representing the best connectivity.</w:t>
      </w:r>
    </w:p>
    <w:p w:rsidR="008D35CA" w:rsidRDefault="008D35CA" w:rsidP="008D35CA">
      <w:pPr>
        <w:ind w:firstLine="0"/>
      </w:pPr>
    </w:p>
    <w:p w:rsidR="00267A3A" w:rsidRDefault="00267A3A" w:rsidP="008D35CA">
      <w:pPr>
        <w:ind w:firstLine="0"/>
      </w:pPr>
      <w:r>
        <w:rPr>
          <w:noProof/>
          <w:lang w:val="en-GB" w:eastAsia="en-GB"/>
        </w:rPr>
        <w:drawing>
          <wp:inline distT="0" distB="0" distL="0" distR="0" wp14:anchorId="78FF7D3C" wp14:editId="4AED0F0F">
            <wp:extent cx="3182112" cy="1280572"/>
            <wp:effectExtent l="0" t="0" r="0" b="0"/>
            <wp:docPr id="1539797424" name="Picture 1539797424" descr="A table with different color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7424" name="Picture 1" descr="A table with different colors of numbe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112" cy="1280572"/>
                    </a:xfrm>
                    <a:prstGeom prst="rect">
                      <a:avLst/>
                    </a:prstGeom>
                    <a:noFill/>
                    <a:ln>
                      <a:noFill/>
                    </a:ln>
                  </pic:spPr>
                </pic:pic>
              </a:graphicData>
            </a:graphic>
          </wp:inline>
        </w:drawing>
      </w:r>
    </w:p>
    <w:p w:rsidR="00D027CC" w:rsidRDefault="00267A3A" w:rsidP="00C40E12">
      <w:pPr>
        <w:pStyle w:val="Caption"/>
        <w:ind w:firstLine="0"/>
      </w:pPr>
      <w:r>
        <w:t xml:space="preserve">Figure </w:t>
      </w:r>
      <w:r w:rsidR="00AE714F">
        <w:fldChar w:fldCharType="begin"/>
      </w:r>
      <w:r w:rsidR="00AE714F">
        <w:instrText xml:space="preserve"> SEQ Figure \* ARABIC </w:instrText>
      </w:r>
      <w:r w:rsidR="00AE714F">
        <w:fldChar w:fldCharType="separate"/>
      </w:r>
      <w:r w:rsidR="002C731C">
        <w:rPr>
          <w:noProof/>
        </w:rPr>
        <w:t>1</w:t>
      </w:r>
      <w:r w:rsidR="00AE714F">
        <w:rPr>
          <w:noProof/>
        </w:rPr>
        <w:fldChar w:fldCharType="end"/>
      </w:r>
      <w:r>
        <w:t xml:space="preserve"> - PTAL </w:t>
      </w:r>
      <w:r w:rsidR="00487BDC">
        <w:t>s</w:t>
      </w:r>
      <w:r>
        <w:t xml:space="preserve">core </w:t>
      </w:r>
      <w:r w:rsidR="00487BDC">
        <w:t>r</w:t>
      </w:r>
      <w:r>
        <w:t>ange.</w:t>
      </w:r>
    </w:p>
    <w:p w:rsidR="00A75233" w:rsidRDefault="00A75233" w:rsidP="00730181">
      <w:pPr>
        <w:ind w:firstLine="0"/>
      </w:pPr>
      <w:r>
        <w:t>In general a location will have a higher PTAL if</w:t>
      </w:r>
      <w:r w:rsidR="00730181">
        <w:t xml:space="preserve"> it</w:t>
      </w:r>
      <w:r>
        <w:t xml:space="preserve"> is a short walking distance to the nearest </w:t>
      </w:r>
      <w:r w:rsidR="00032D69">
        <w:t>stops or Service</w:t>
      </w:r>
      <w:r w:rsidR="00282E3A">
        <w:t xml:space="preserve"> </w:t>
      </w:r>
      <w:r w:rsidR="00032D69">
        <w:t>Access</w:t>
      </w:r>
      <w:r w:rsidR="00282E3A">
        <w:t xml:space="preserve"> </w:t>
      </w:r>
      <w:r w:rsidR="00032D69">
        <w:t xml:space="preserve">Points </w:t>
      </w:r>
      <w:r w:rsidR="00282E3A">
        <w:t>(SAP</w:t>
      </w:r>
      <w:r w:rsidR="00730181">
        <w:t>)</w:t>
      </w:r>
      <w:r w:rsidR="00F86A90">
        <w:t>;</w:t>
      </w:r>
      <w:r w:rsidR="00730181">
        <w:t xml:space="preserve"> w</w:t>
      </w:r>
      <w:r>
        <w:t>aiting times at the nearest stations or stops are short</w:t>
      </w:r>
      <w:r w:rsidR="00F86A90">
        <w:t xml:space="preserve">; </w:t>
      </w:r>
      <w:r w:rsidR="00730181">
        <w:t>m</w:t>
      </w:r>
      <w:r>
        <w:t>ore services pass at the nearest stations or stops</w:t>
      </w:r>
      <w:r w:rsidR="00F86A90">
        <w:t>;</w:t>
      </w:r>
      <w:r w:rsidR="00730181">
        <w:t xml:space="preserve"> and </w:t>
      </w:r>
      <w:r>
        <w:t>here are major rail/bus stations nearby.</w:t>
      </w:r>
    </w:p>
    <w:p w:rsidR="00934384" w:rsidRDefault="00934384" w:rsidP="00934384"/>
    <w:p w:rsidR="00947785" w:rsidRDefault="00E61B7E" w:rsidP="009E4E0D">
      <w:pPr>
        <w:ind w:firstLine="0"/>
        <w:rPr>
          <w:lang w:val="en-GB"/>
        </w:rPr>
      </w:pPr>
      <w:r w:rsidRPr="00E61B7E">
        <w:rPr>
          <w:lang w:val="en-GB"/>
        </w:rPr>
        <w:t>The NTA’s PTAL methodology focuses on</w:t>
      </w:r>
      <w:r w:rsidR="00856163">
        <w:rPr>
          <w:lang w:val="en-GB"/>
        </w:rPr>
        <w:t xml:space="preserve"> </w:t>
      </w:r>
      <w:r w:rsidRPr="00E61B7E">
        <w:rPr>
          <w:lang w:val="en-GB"/>
        </w:rPr>
        <w:t>analysis of 100m grid</w:t>
      </w:r>
      <w:r w:rsidR="00091277">
        <w:rPr>
          <w:lang w:val="en-GB"/>
        </w:rPr>
        <w:t xml:space="preserve"> squares</w:t>
      </w:r>
      <w:r w:rsidRPr="00E61B7E">
        <w:rPr>
          <w:lang w:val="en-GB"/>
        </w:rPr>
        <w:t xml:space="preserve">. </w:t>
      </w:r>
      <w:r w:rsidR="00DA63E4">
        <w:rPr>
          <w:lang w:val="en-GB"/>
        </w:rPr>
        <w:t>W</w:t>
      </w:r>
      <w:r w:rsidR="00DA63E4" w:rsidRPr="00E61B7E">
        <w:rPr>
          <w:lang w:val="en-GB"/>
        </w:rPr>
        <w:t xml:space="preserve">ait times, walk-times, access times, </w:t>
      </w:r>
      <w:r w:rsidR="00DA63E4">
        <w:rPr>
          <w:lang w:val="en-GB"/>
        </w:rPr>
        <w:t>and service</w:t>
      </w:r>
      <w:r w:rsidR="00DA63E4" w:rsidRPr="00E61B7E">
        <w:rPr>
          <w:lang w:val="en-GB"/>
        </w:rPr>
        <w:t xml:space="preserve"> frequencies</w:t>
      </w:r>
      <w:r w:rsidR="00DA63E4">
        <w:rPr>
          <w:lang w:val="en-GB"/>
        </w:rPr>
        <w:t xml:space="preserve"> are calculated</w:t>
      </w:r>
      <w:r w:rsidR="00F67FA3">
        <w:rPr>
          <w:lang w:val="en-GB"/>
        </w:rPr>
        <w:t xml:space="preserve"> in each grid squ</w:t>
      </w:r>
      <w:r w:rsidR="0076497B">
        <w:rPr>
          <w:lang w:val="en-GB"/>
        </w:rPr>
        <w:t xml:space="preserve">are. </w:t>
      </w:r>
      <w:r w:rsidR="0076497B">
        <w:rPr>
          <w:lang w:val="en-GB"/>
        </w:rPr>
        <w:lastRenderedPageBreak/>
        <w:t>PTAL formulas are applied to generate Accessibility Indexes which are then summed to generate the final PTAL value for a grid square.</w:t>
      </w:r>
      <w:r w:rsidR="00AF4FB6">
        <w:rPr>
          <w:lang w:val="en-GB"/>
        </w:rPr>
        <w:t xml:space="preserve"> </w:t>
      </w:r>
      <w:r w:rsidR="001F440D" w:rsidRPr="001F440D">
        <w:rPr>
          <w:lang w:val="en-GB"/>
        </w:rPr>
        <w:t xml:space="preserve">The NTA’s </w:t>
      </w:r>
      <w:r w:rsidR="00944ABE">
        <w:rPr>
          <w:lang w:val="en-GB"/>
        </w:rPr>
        <w:t xml:space="preserve">ArcGIS </w:t>
      </w:r>
      <w:r w:rsidR="001F440D" w:rsidRPr="001F440D">
        <w:rPr>
          <w:lang w:val="en-GB"/>
        </w:rPr>
        <w:t xml:space="preserve">PTAL </w:t>
      </w:r>
      <w:r w:rsidR="0018687B">
        <w:rPr>
          <w:lang w:val="en-GB"/>
        </w:rPr>
        <w:t>t</w:t>
      </w:r>
      <w:r w:rsidR="001F440D" w:rsidRPr="001F440D">
        <w:rPr>
          <w:lang w:val="en-GB"/>
        </w:rPr>
        <w:t>oolbox is comprised of two</w:t>
      </w:r>
      <w:r w:rsidR="0072418E">
        <w:rPr>
          <w:lang w:val="en-GB"/>
        </w:rPr>
        <w:t xml:space="preserve"> </w:t>
      </w:r>
      <w:r w:rsidR="001F440D" w:rsidRPr="001F440D">
        <w:rPr>
          <w:lang w:val="en-GB"/>
        </w:rPr>
        <w:t>tools</w:t>
      </w:r>
      <w:r w:rsidR="00894FC6">
        <w:rPr>
          <w:lang w:val="en-GB"/>
        </w:rPr>
        <w:t xml:space="preserve">: </w:t>
      </w:r>
      <w:r w:rsidR="001F440D" w:rsidRPr="001F440D">
        <w:rPr>
          <w:lang w:val="en-GB"/>
        </w:rPr>
        <w:t>Tool 1 and Tool 2</w:t>
      </w:r>
      <w:r w:rsidR="00211601">
        <w:rPr>
          <w:lang w:val="en-GB"/>
        </w:rPr>
        <w:t xml:space="preserve"> which are responsible for</w:t>
      </w:r>
      <w:r w:rsidR="00861FE3">
        <w:rPr>
          <w:lang w:val="en-GB"/>
        </w:rPr>
        <w:t xml:space="preserve"> the</w:t>
      </w:r>
      <w:r w:rsidR="00211601">
        <w:rPr>
          <w:lang w:val="en-GB"/>
        </w:rPr>
        <w:t xml:space="preserve"> import, transformation, analysis, and visualization of GTFS data</w:t>
      </w:r>
      <w:r w:rsidR="0097394F">
        <w:rPr>
          <w:lang w:val="en-GB"/>
        </w:rPr>
        <w:t>,</w:t>
      </w:r>
      <w:r w:rsidR="00211601">
        <w:rPr>
          <w:lang w:val="en-GB"/>
        </w:rPr>
        <w:t xml:space="preserve"> and</w:t>
      </w:r>
      <w:r w:rsidR="00D02459">
        <w:rPr>
          <w:lang w:val="en-GB"/>
        </w:rPr>
        <w:t xml:space="preserve"> </w:t>
      </w:r>
      <w:r w:rsidR="00894FC6">
        <w:rPr>
          <w:lang w:val="en-GB"/>
        </w:rPr>
        <w:t xml:space="preserve">subsequent </w:t>
      </w:r>
      <w:r w:rsidR="007D6514">
        <w:rPr>
          <w:lang w:val="en-GB"/>
        </w:rPr>
        <w:t>calculation of</w:t>
      </w:r>
      <w:r w:rsidR="00211601">
        <w:rPr>
          <w:lang w:val="en-GB"/>
        </w:rPr>
        <w:t xml:space="preserve"> PTAL</w:t>
      </w:r>
      <w:r w:rsidR="006A0490">
        <w:rPr>
          <w:lang w:val="en-GB"/>
        </w:rPr>
        <w:t xml:space="preserve"> </w:t>
      </w:r>
      <w:r w:rsidR="00D02459">
        <w:rPr>
          <w:lang w:val="en-GB"/>
        </w:rPr>
        <w:t>results</w:t>
      </w:r>
      <w:r w:rsidR="00211601">
        <w:rPr>
          <w:lang w:val="en-GB"/>
        </w:rPr>
        <w:t>.</w:t>
      </w:r>
    </w:p>
    <w:p w:rsidR="004E6410" w:rsidRPr="004E6410" w:rsidRDefault="004E6410" w:rsidP="004E6410">
      <w:pPr>
        <w:ind w:firstLine="0"/>
      </w:pPr>
    </w:p>
    <w:p w:rsidR="007378E8" w:rsidRPr="00205A2C" w:rsidRDefault="007378E8" w:rsidP="007F0426">
      <w:pPr>
        <w:ind w:firstLine="0"/>
        <w:rPr>
          <w:b/>
          <w:bCs/>
        </w:rPr>
      </w:pPr>
      <w:r w:rsidRPr="00205A2C">
        <w:rPr>
          <w:b/>
          <w:bCs/>
        </w:rPr>
        <w:t>PTAL Analysis Results</w:t>
      </w:r>
    </w:p>
    <w:p w:rsidR="007378E8" w:rsidRDefault="007378E8" w:rsidP="007F0426">
      <w:pPr>
        <w:ind w:firstLine="0"/>
      </w:pPr>
      <w:r>
        <w:t>The following image shows the results of a PTAL analysis for the greater Dublin metropolitan area.</w:t>
      </w:r>
      <w:r w:rsidR="009D23AD">
        <w:t xml:space="preserve"> </w:t>
      </w:r>
      <w:r w:rsidR="00830F48">
        <w:t>Hotter (</w:t>
      </w:r>
      <w:r w:rsidR="00C041EF">
        <w:t>red</w:t>
      </w:r>
      <w:r w:rsidR="00830F48">
        <w:t>) areas are those with better relative access to public transport.</w:t>
      </w:r>
    </w:p>
    <w:p w:rsidR="009A0346" w:rsidRDefault="009A0346" w:rsidP="007F0426">
      <w:pPr>
        <w:ind w:firstLine="0"/>
      </w:pPr>
    </w:p>
    <w:p w:rsidR="009A0346" w:rsidRDefault="00A76D53" w:rsidP="009A0346">
      <w:pPr>
        <w:keepNext/>
        <w:ind w:firstLine="0"/>
      </w:pPr>
      <w:r>
        <w:rPr>
          <w:noProof/>
          <w:lang w:val="en-GB" w:eastAsia="en-GB"/>
        </w:rPr>
        <w:drawing>
          <wp:inline distT="0" distB="0" distL="0" distR="0" wp14:anchorId="54351176" wp14:editId="56678446">
            <wp:extent cx="3979469" cy="2740416"/>
            <wp:effectExtent l="0" t="0" r="2540" b="3175"/>
            <wp:docPr id="302506167" name="Picture 302506167"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06167" name="Picture 1" descr="A map of different colors&#10;&#10;Description automatically generated"/>
                    <pic:cNvPicPr/>
                  </pic:nvPicPr>
                  <pic:blipFill>
                    <a:blip r:embed="rId11"/>
                    <a:stretch>
                      <a:fillRect/>
                    </a:stretch>
                  </pic:blipFill>
                  <pic:spPr>
                    <a:xfrm>
                      <a:off x="0" y="0"/>
                      <a:ext cx="4000787" cy="2755096"/>
                    </a:xfrm>
                    <a:prstGeom prst="rect">
                      <a:avLst/>
                    </a:prstGeom>
                  </pic:spPr>
                </pic:pic>
              </a:graphicData>
            </a:graphic>
          </wp:inline>
        </w:drawing>
      </w:r>
    </w:p>
    <w:p w:rsidR="00FD7A94" w:rsidRPr="00FD7A94" w:rsidRDefault="009A0346" w:rsidP="00EF0239">
      <w:pPr>
        <w:pStyle w:val="Caption"/>
        <w:ind w:firstLine="0"/>
      </w:pPr>
      <w:r>
        <w:t xml:space="preserve">Figure </w:t>
      </w:r>
      <w:r w:rsidR="00AE714F">
        <w:fldChar w:fldCharType="begin"/>
      </w:r>
      <w:r w:rsidR="00AE714F">
        <w:instrText xml:space="preserve"> SEQ</w:instrText>
      </w:r>
      <w:r w:rsidR="00AE714F">
        <w:instrText xml:space="preserve"> Figure \* ARABIC </w:instrText>
      </w:r>
      <w:r w:rsidR="00AE714F">
        <w:fldChar w:fldCharType="separate"/>
      </w:r>
      <w:r w:rsidR="002C731C">
        <w:rPr>
          <w:noProof/>
        </w:rPr>
        <w:t>2</w:t>
      </w:r>
      <w:r w:rsidR="00AE714F">
        <w:rPr>
          <w:noProof/>
        </w:rPr>
        <w:fldChar w:fldCharType="end"/>
      </w:r>
      <w:r>
        <w:t xml:space="preserve"> - Dublin PTAL analysis results.</w:t>
      </w:r>
      <w:bookmarkStart w:id="0" w:name="How_ATOS_Works"/>
      <w:bookmarkEnd w:id="0"/>
    </w:p>
    <w:p w:rsidR="007F0426" w:rsidRDefault="007F0426" w:rsidP="007F0426">
      <w:pPr>
        <w:pStyle w:val="heading2"/>
      </w:pPr>
      <w:r>
        <w:t xml:space="preserve">Access to Opportunities </w:t>
      </w:r>
      <w:r w:rsidR="00C91FD7">
        <w:t>and</w:t>
      </w:r>
      <w:r>
        <w:t xml:space="preserve"> Services (</w:t>
      </w:r>
      <w:r w:rsidR="00C91FD7">
        <w:t>ATOS</w:t>
      </w:r>
      <w:r>
        <w:t>)</w:t>
      </w:r>
    </w:p>
    <w:p w:rsidR="007F0426" w:rsidRDefault="00DB4E67" w:rsidP="007F0426">
      <w:pPr>
        <w:ind w:firstLine="0"/>
      </w:pPr>
      <w:r w:rsidRPr="00DB4E67">
        <w:t xml:space="preserve">Access to Opportunities and Services (ATOS) is a metric which serves as an indicator of </w:t>
      </w:r>
      <w:r w:rsidR="00D268FD">
        <w:t xml:space="preserve">a location’s connectivity to </w:t>
      </w:r>
      <w:r w:rsidRPr="00DB4E67">
        <w:t>essential key services and opportunities</w:t>
      </w:r>
      <w:r w:rsidR="004A60E1">
        <w:t xml:space="preserve">. </w:t>
      </w:r>
      <w:r w:rsidR="00DF6DB9">
        <w:t xml:space="preserve">ATOS scores range between A and E, </w:t>
      </w:r>
      <w:r w:rsidR="001A02DD">
        <w:t>with</w:t>
      </w:r>
      <w:r w:rsidR="00DF6DB9">
        <w:t xml:space="preserve"> A </w:t>
      </w:r>
      <w:r w:rsidR="001A02DD">
        <w:t>representing</w:t>
      </w:r>
      <w:r w:rsidR="00DF6DB9">
        <w:t xml:space="preserve"> the </w:t>
      </w:r>
      <w:r w:rsidR="00C5096A">
        <w:t>highest</w:t>
      </w:r>
      <w:r w:rsidR="00DF6DB9">
        <w:t xml:space="preserve"> level of connectivity.</w:t>
      </w:r>
    </w:p>
    <w:p w:rsidR="00D927F9" w:rsidRDefault="00D927F9" w:rsidP="007F0426">
      <w:pPr>
        <w:ind w:firstLine="0"/>
      </w:pPr>
    </w:p>
    <w:p w:rsidR="005D6543" w:rsidRDefault="005D6543" w:rsidP="005D6543">
      <w:pPr>
        <w:keepNext/>
        <w:ind w:firstLine="0"/>
      </w:pPr>
      <w:r>
        <w:rPr>
          <w:noProof/>
          <w:lang w:val="en-GB" w:eastAsia="en-GB"/>
        </w:rPr>
        <w:drawing>
          <wp:inline distT="0" distB="0" distL="0" distR="0" wp14:anchorId="06ED5639" wp14:editId="431DE00A">
            <wp:extent cx="1738833" cy="1175518"/>
            <wp:effectExtent l="0" t="0" r="0" b="5715"/>
            <wp:docPr id="19736563" name="Picture 19736563"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563" name="Picture 1" descr="A screen shot of a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0768" cy="1176826"/>
                    </a:xfrm>
                    <a:prstGeom prst="rect">
                      <a:avLst/>
                    </a:prstGeom>
                    <a:noFill/>
                    <a:ln>
                      <a:noFill/>
                    </a:ln>
                  </pic:spPr>
                </pic:pic>
              </a:graphicData>
            </a:graphic>
          </wp:inline>
        </w:drawing>
      </w:r>
    </w:p>
    <w:p w:rsidR="00F16D55" w:rsidRDefault="005D6543" w:rsidP="00ED2041">
      <w:pPr>
        <w:pStyle w:val="Caption"/>
        <w:ind w:firstLine="0"/>
      </w:pPr>
      <w:r>
        <w:t xml:space="preserve">Figure </w:t>
      </w:r>
      <w:r w:rsidR="00AE714F">
        <w:fldChar w:fldCharType="begin"/>
      </w:r>
      <w:r w:rsidR="00AE714F">
        <w:instrText xml:space="preserve"> SEQ Figure \* ARABIC </w:instrText>
      </w:r>
      <w:r w:rsidR="00AE714F">
        <w:fldChar w:fldCharType="separate"/>
      </w:r>
      <w:r w:rsidR="002C731C">
        <w:rPr>
          <w:noProof/>
        </w:rPr>
        <w:t>3</w:t>
      </w:r>
      <w:r w:rsidR="00AE714F">
        <w:rPr>
          <w:noProof/>
        </w:rPr>
        <w:fldChar w:fldCharType="end"/>
      </w:r>
      <w:r>
        <w:t xml:space="preserve"> - ATOS</w:t>
      </w:r>
      <w:r w:rsidRPr="006B0C9A">
        <w:t xml:space="preserve"> </w:t>
      </w:r>
      <w:r w:rsidR="008046DE">
        <w:t>s</w:t>
      </w:r>
      <w:r w:rsidRPr="006B0C9A">
        <w:t xml:space="preserve">core </w:t>
      </w:r>
      <w:r w:rsidR="008046DE">
        <w:t>r</w:t>
      </w:r>
      <w:r w:rsidRPr="006B0C9A">
        <w:t>ange</w:t>
      </w:r>
      <w:r>
        <w:t>.</w:t>
      </w:r>
    </w:p>
    <w:p w:rsidR="00ED2041" w:rsidRDefault="00B83DA5" w:rsidP="00D210DF">
      <w:pPr>
        <w:ind w:firstLine="0"/>
      </w:pPr>
      <w:r w:rsidRPr="00B83DA5">
        <w:lastRenderedPageBreak/>
        <w:t xml:space="preserve">The ATOS measure plays a crucial role in </w:t>
      </w:r>
      <w:r w:rsidR="00A56243">
        <w:t>public transport</w:t>
      </w:r>
      <w:r w:rsidRPr="00B83DA5">
        <w:t xml:space="preserve"> planning by assisting in the identification of areas in need of connectivity improvements and guiding decisions on</w:t>
      </w:r>
      <w:r w:rsidR="009E7F93">
        <w:t xml:space="preserve"> the</w:t>
      </w:r>
      <w:r w:rsidRPr="00B83DA5">
        <w:t xml:space="preserve"> optimal locations for </w:t>
      </w:r>
      <w:r w:rsidR="009E7F93">
        <w:t>introduction</w:t>
      </w:r>
      <w:r w:rsidRPr="00B83DA5">
        <w:t xml:space="preserve"> </w:t>
      </w:r>
      <w:r w:rsidR="00A56243">
        <w:t xml:space="preserve">of </w:t>
      </w:r>
      <w:r w:rsidRPr="00B83DA5">
        <w:t xml:space="preserve">essential services </w:t>
      </w:r>
      <w:r w:rsidR="009B55A4">
        <w:t>such as</w:t>
      </w:r>
      <w:r w:rsidRPr="00B83DA5">
        <w:t xml:space="preserve"> healthcare and education. This makes it an indispensable tool in the planning process.</w:t>
      </w:r>
      <w:r w:rsidR="00ED2041">
        <w:t xml:space="preserve"> </w:t>
      </w:r>
    </w:p>
    <w:p w:rsidR="00ED2041" w:rsidRDefault="00ED2041" w:rsidP="00D210DF">
      <w:pPr>
        <w:ind w:firstLine="0"/>
      </w:pPr>
    </w:p>
    <w:p w:rsidR="00F16D55" w:rsidRPr="00ED2041" w:rsidRDefault="00201C95" w:rsidP="00D210DF">
      <w:pPr>
        <w:ind w:firstLine="0"/>
      </w:pPr>
      <w:r>
        <w:rPr>
          <w:lang w:val="en-GB"/>
        </w:rPr>
        <w:t>In general an area will have</w:t>
      </w:r>
      <w:r w:rsidR="00F16D55" w:rsidRPr="00F16D55">
        <w:rPr>
          <w:lang w:val="en-GB"/>
        </w:rPr>
        <w:t xml:space="preserve"> a </w:t>
      </w:r>
      <w:r w:rsidR="00342BCC">
        <w:rPr>
          <w:lang w:val="en-GB"/>
        </w:rPr>
        <w:t>more favourable</w:t>
      </w:r>
      <w:r w:rsidR="00F16D55" w:rsidRPr="00F16D55">
        <w:rPr>
          <w:lang w:val="en-GB"/>
        </w:rPr>
        <w:t xml:space="preserve"> ATOS score if</w:t>
      </w:r>
      <w:r w:rsidR="00D210DF">
        <w:rPr>
          <w:lang w:val="en-GB"/>
        </w:rPr>
        <w:t xml:space="preserve"> t</w:t>
      </w:r>
      <w:r w:rsidR="00F16D55" w:rsidRPr="00F16D55">
        <w:rPr>
          <w:lang w:val="en-GB"/>
        </w:rPr>
        <w:t>here are many of a given service type within close proximity</w:t>
      </w:r>
      <w:r w:rsidR="009D2FC4">
        <w:rPr>
          <w:lang w:val="en-GB"/>
        </w:rPr>
        <w:t>,</w:t>
      </w:r>
      <w:r w:rsidR="00D210DF">
        <w:rPr>
          <w:lang w:val="en-GB"/>
        </w:rPr>
        <w:t xml:space="preserve"> and t</w:t>
      </w:r>
      <w:r w:rsidR="00F16D55" w:rsidRPr="00F16D55">
        <w:rPr>
          <w:lang w:val="en-GB"/>
        </w:rPr>
        <w:t>he</w:t>
      </w:r>
      <w:r w:rsidR="00AD720E">
        <w:rPr>
          <w:lang w:val="en-GB"/>
        </w:rPr>
        <w:t xml:space="preserve"> transport</w:t>
      </w:r>
      <w:r w:rsidR="00F16D55" w:rsidRPr="00F16D55">
        <w:rPr>
          <w:lang w:val="en-GB"/>
        </w:rPr>
        <w:t xml:space="preserve"> network in the vicinity is dense and well developed since this should reduce travel time to service locations.</w:t>
      </w:r>
    </w:p>
    <w:p w:rsidR="00F16D55" w:rsidRDefault="00F16D55" w:rsidP="002A05F7">
      <w:pPr>
        <w:ind w:firstLine="0"/>
      </w:pPr>
    </w:p>
    <w:p w:rsidR="009E4E0D" w:rsidRDefault="003912DB" w:rsidP="00AA283D">
      <w:pPr>
        <w:ind w:firstLine="0"/>
      </w:pPr>
      <w:r>
        <w:t>The NTA’s ATOS methodology focuses on</w:t>
      </w:r>
      <w:r w:rsidR="00C37BF3">
        <w:t xml:space="preserve"> the</w:t>
      </w:r>
      <w:r>
        <w:t xml:space="preserve"> analysis of 100m grid</w:t>
      </w:r>
      <w:r w:rsidR="00856163">
        <w:t xml:space="preserve"> squares</w:t>
      </w:r>
      <w:r>
        <w:t xml:space="preserve">. The ATOS scoring methodology differs from PTAL in that the score for an individual grid square is </w:t>
      </w:r>
      <w:r w:rsidR="00D741F3">
        <w:t>dependent</w:t>
      </w:r>
      <w:r>
        <w:t xml:space="preserve"> </w:t>
      </w:r>
      <w:r w:rsidR="003F78EF">
        <w:t>up</w:t>
      </w:r>
      <w:r>
        <w:t xml:space="preserve">on </w:t>
      </w:r>
      <w:r w:rsidR="00A751AA">
        <w:t xml:space="preserve">how travel times to the nearest relevant destinations (for the specific type of service) compare to the average travel times across all </w:t>
      </w:r>
      <w:r w:rsidR="00551E61">
        <w:t>selected grid squares</w:t>
      </w:r>
      <w:r>
        <w:t>. In this manner an ATOS score provides a realistic representation of the relative connectivity of a grid square to a given service within the entire selected grid area.</w:t>
      </w:r>
    </w:p>
    <w:p w:rsidR="00AA283D" w:rsidRDefault="00AA283D" w:rsidP="00AA283D">
      <w:pPr>
        <w:ind w:firstLine="0"/>
        <w:rPr>
          <w:lang w:val="en-GB"/>
        </w:rPr>
      </w:pPr>
    </w:p>
    <w:p w:rsidR="00C35E97" w:rsidRDefault="00C35E97" w:rsidP="00C35E97">
      <w:pPr>
        <w:ind w:firstLine="0"/>
      </w:pPr>
      <w:r>
        <w:t>There are two distinct analysis types</w:t>
      </w:r>
      <w:r w:rsidR="008833AF">
        <w:t xml:space="preserve"> available</w:t>
      </w:r>
      <w:r>
        <w:t xml:space="preserve"> within the ATOS toolbox:</w:t>
      </w:r>
    </w:p>
    <w:p w:rsidR="00CB5CD1" w:rsidRDefault="00C35E97" w:rsidP="00416366">
      <w:pPr>
        <w:pStyle w:val="ListParagraph"/>
        <w:numPr>
          <w:ilvl w:val="0"/>
          <w:numId w:val="18"/>
        </w:numPr>
        <w:rPr>
          <w:b/>
          <w:bCs/>
        </w:rPr>
      </w:pPr>
      <w:r w:rsidRPr="009139E7">
        <w:rPr>
          <w:b/>
          <w:bCs/>
        </w:rPr>
        <w:t>The nearest {X} services within {Y} minutes travel time from origin point</w:t>
      </w:r>
    </w:p>
    <w:p w:rsidR="00C35E97" w:rsidRPr="00CB5CD1" w:rsidRDefault="00C35E97" w:rsidP="00CB5CD1">
      <w:pPr>
        <w:ind w:left="587" w:firstLine="0"/>
        <w:rPr>
          <w:b/>
          <w:bCs/>
        </w:rPr>
      </w:pPr>
      <w:r>
        <w:t xml:space="preserve">This analysis assesses the relative connectivity to a given number of services </w:t>
      </w:r>
      <w:r w:rsidRPr="00CB5CD1">
        <w:rPr>
          <w:b/>
          <w:bCs/>
          <w:lang w:val="en-GB"/>
        </w:rPr>
        <w:t>{X}</w:t>
      </w:r>
      <w:r w:rsidRPr="00CB5CD1">
        <w:rPr>
          <w:lang w:val="en-GB"/>
        </w:rPr>
        <w:t xml:space="preserve"> </w:t>
      </w:r>
      <w:r>
        <w:t xml:space="preserve">within a pre-defined travel time </w:t>
      </w:r>
      <w:r w:rsidRPr="00CB5CD1">
        <w:rPr>
          <w:b/>
          <w:bCs/>
          <w:lang w:val="en-GB"/>
        </w:rPr>
        <w:t>{Y}</w:t>
      </w:r>
      <w:r w:rsidRPr="00CB5CD1">
        <w:rPr>
          <w:lang w:val="en-GB"/>
        </w:rPr>
        <w:t>.</w:t>
      </w:r>
    </w:p>
    <w:p w:rsidR="00416366" w:rsidRPr="009139E7" w:rsidRDefault="00416366" w:rsidP="00416366">
      <w:pPr>
        <w:pStyle w:val="ListParagraph"/>
        <w:numPr>
          <w:ilvl w:val="0"/>
          <w:numId w:val="18"/>
        </w:numPr>
        <w:rPr>
          <w:b/>
          <w:bCs/>
        </w:rPr>
      </w:pPr>
      <w:r w:rsidRPr="009139E7">
        <w:rPr>
          <w:b/>
          <w:bCs/>
        </w:rPr>
        <w:t>Total number of jobs within {Y} minutes travel time from origin point.</w:t>
      </w:r>
    </w:p>
    <w:p w:rsidR="00497303" w:rsidRDefault="00416366" w:rsidP="00D927F9">
      <w:pPr>
        <w:ind w:left="587" w:firstLine="0"/>
      </w:pPr>
      <w:r>
        <w:t xml:space="preserve">This analysis assesses the relative employment available within </w:t>
      </w:r>
      <w:r w:rsidRPr="0081261A">
        <w:rPr>
          <w:b/>
          <w:bCs/>
          <w:lang w:val="en-GB"/>
        </w:rPr>
        <w:t>{Y}</w:t>
      </w:r>
      <w:r>
        <w:rPr>
          <w:lang w:val="en-GB"/>
        </w:rPr>
        <w:t xml:space="preserve"> </w:t>
      </w:r>
      <w:r>
        <w:t>minutes travel time from a location.</w:t>
      </w:r>
    </w:p>
    <w:p w:rsidR="00D927F9" w:rsidRPr="00D927F9" w:rsidRDefault="00D927F9" w:rsidP="002F1B55">
      <w:pPr>
        <w:ind w:firstLine="0"/>
        <w:rPr>
          <w:lang w:val="en-GB"/>
        </w:rPr>
      </w:pPr>
    </w:p>
    <w:p w:rsidR="00836F17" w:rsidRDefault="00836F17" w:rsidP="00836F17">
      <w:pPr>
        <w:ind w:firstLine="0"/>
        <w:rPr>
          <w:b/>
          <w:bCs/>
        </w:rPr>
      </w:pPr>
      <w:r w:rsidRPr="00836F17">
        <w:rPr>
          <w:b/>
          <w:bCs/>
        </w:rPr>
        <w:t>ATOS Analysis Results</w:t>
      </w:r>
    </w:p>
    <w:p w:rsidR="00D35F78" w:rsidRDefault="00D35F78" w:rsidP="00D35F78">
      <w:pPr>
        <w:ind w:firstLine="0"/>
      </w:pPr>
      <w:r>
        <w:t xml:space="preserve">The following image shows the results of an ATOS </w:t>
      </w:r>
      <w:r w:rsidR="00E66FB2">
        <w:t>open space</w:t>
      </w:r>
      <w:r w:rsidR="00174B3E">
        <w:t>s</w:t>
      </w:r>
      <w:r w:rsidR="00E66FB2">
        <w:t xml:space="preserve"> </w:t>
      </w:r>
      <w:r>
        <w:t xml:space="preserve">analysis for the greater Dublin metropolitan area. Hotter (red) areas are those with better relative access to </w:t>
      </w:r>
      <w:r w:rsidR="00174B3E">
        <w:t>open spaces.</w:t>
      </w:r>
    </w:p>
    <w:p w:rsidR="00D927F9" w:rsidRDefault="00D927F9" w:rsidP="00D35F78">
      <w:pPr>
        <w:ind w:firstLine="0"/>
      </w:pPr>
    </w:p>
    <w:p w:rsidR="00B941C8" w:rsidRDefault="00880D85" w:rsidP="00B941C8">
      <w:pPr>
        <w:keepNext/>
        <w:ind w:firstLine="0"/>
      </w:pPr>
      <w:r>
        <w:rPr>
          <w:noProof/>
          <w:lang w:val="en-GB" w:eastAsia="en-GB"/>
        </w:rPr>
        <w:drawing>
          <wp:inline distT="0" distB="0" distL="0" distR="0" wp14:anchorId="1D56F15C" wp14:editId="74D106E6">
            <wp:extent cx="2882189" cy="2362246"/>
            <wp:effectExtent l="0" t="0" r="0" b="0"/>
            <wp:docPr id="1264802876" name="Picture 126480287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2876" name="Picture 1" descr="A map of a city&#10;&#10;Description automatically generated"/>
                    <pic:cNvPicPr/>
                  </pic:nvPicPr>
                  <pic:blipFill>
                    <a:blip r:embed="rId13"/>
                    <a:stretch>
                      <a:fillRect/>
                    </a:stretch>
                  </pic:blipFill>
                  <pic:spPr>
                    <a:xfrm>
                      <a:off x="0" y="0"/>
                      <a:ext cx="2904131" cy="2380230"/>
                    </a:xfrm>
                    <a:prstGeom prst="rect">
                      <a:avLst/>
                    </a:prstGeom>
                  </pic:spPr>
                </pic:pic>
              </a:graphicData>
            </a:graphic>
          </wp:inline>
        </w:drawing>
      </w:r>
    </w:p>
    <w:p w:rsidR="00AE27C2" w:rsidRDefault="00B941C8" w:rsidP="0088027D">
      <w:pPr>
        <w:pStyle w:val="Caption"/>
        <w:ind w:firstLine="0"/>
      </w:pPr>
      <w:r>
        <w:t xml:space="preserve">Figure </w:t>
      </w:r>
      <w:r w:rsidR="00AE714F">
        <w:fldChar w:fldCharType="begin"/>
      </w:r>
      <w:r w:rsidR="00AE714F">
        <w:instrText xml:space="preserve"> SEQ Figure \* ARABIC </w:instrText>
      </w:r>
      <w:r w:rsidR="00AE714F">
        <w:fldChar w:fldCharType="separate"/>
      </w:r>
      <w:r w:rsidR="002C731C">
        <w:rPr>
          <w:noProof/>
        </w:rPr>
        <w:t>4</w:t>
      </w:r>
      <w:r w:rsidR="00AE714F">
        <w:rPr>
          <w:noProof/>
        </w:rPr>
        <w:fldChar w:fldCharType="end"/>
      </w:r>
      <w:r>
        <w:t xml:space="preserve"> - </w:t>
      </w:r>
      <w:r w:rsidRPr="00986244">
        <w:t xml:space="preserve">Dublin </w:t>
      </w:r>
      <w:r>
        <w:t>ATOS Open Spaces</w:t>
      </w:r>
      <w:r w:rsidRPr="00986244">
        <w:t xml:space="preserve"> analysis results.</w:t>
      </w:r>
    </w:p>
    <w:p w:rsidR="00655F27" w:rsidRDefault="00655F27" w:rsidP="00655F27">
      <w:pPr>
        <w:pStyle w:val="heading1"/>
      </w:pPr>
      <w:r>
        <w:lastRenderedPageBreak/>
        <w:t>How we adapted them for Ireland</w:t>
      </w:r>
    </w:p>
    <w:p w:rsidR="00655F27" w:rsidRDefault="007A1429" w:rsidP="00655F27">
      <w:pPr>
        <w:pStyle w:val="p1a"/>
      </w:pPr>
      <w:r>
        <w:t>Both the ATOS and PTAL toolboxes are closely</w:t>
      </w:r>
      <w:r w:rsidR="00A844CE">
        <w:t xml:space="preserve"> based</w:t>
      </w:r>
      <w:r>
        <w:t xml:space="preserve"> upon the </w:t>
      </w:r>
      <w:r w:rsidR="005C0861">
        <w:t>a</w:t>
      </w:r>
      <w:r w:rsidR="00EE075B">
        <w:t>lgorithms</w:t>
      </w:r>
      <w:r>
        <w:t xml:space="preserve"> developed by Transport for London (</w:t>
      </w:r>
      <w:proofErr w:type="spellStart"/>
      <w:r>
        <w:t>TfL</w:t>
      </w:r>
      <w:proofErr w:type="spellEnd"/>
      <w:r>
        <w:t xml:space="preserve">). However several adaptions to the </w:t>
      </w:r>
      <w:proofErr w:type="spellStart"/>
      <w:r w:rsidR="003049E0">
        <w:t>TfL</w:t>
      </w:r>
      <w:proofErr w:type="spellEnd"/>
      <w:r w:rsidR="00CF2FCE">
        <w:t xml:space="preserve"> </w:t>
      </w:r>
      <w:r w:rsidR="00EE075B">
        <w:t>algorithms</w:t>
      </w:r>
      <w:r w:rsidR="00CF2FCE">
        <w:t xml:space="preserve">, along with additional innovations were added to the toolboxes to </w:t>
      </w:r>
      <w:r w:rsidR="00615653">
        <w:t xml:space="preserve">make them </w:t>
      </w:r>
      <w:r w:rsidR="00294ECB">
        <w:t>applicable</w:t>
      </w:r>
      <w:r w:rsidR="00615653">
        <w:t xml:space="preserve"> to </w:t>
      </w:r>
      <w:r w:rsidR="00294ECB">
        <w:t>Irish Public Transport.</w:t>
      </w:r>
    </w:p>
    <w:p w:rsidR="00FF1DD8" w:rsidRDefault="00FF1DD8" w:rsidP="00FF1DD8">
      <w:pPr>
        <w:pStyle w:val="p1a"/>
      </w:pPr>
    </w:p>
    <w:p w:rsidR="00651BA5" w:rsidRDefault="00FF1DD8" w:rsidP="00ED0FA9">
      <w:pPr>
        <w:pStyle w:val="p1a"/>
      </w:pPr>
      <w:r>
        <w:t xml:space="preserve">The PTAL </w:t>
      </w:r>
      <w:r w:rsidR="00926506">
        <w:t>toolbox</w:t>
      </w:r>
      <w:r>
        <w:t xml:space="preserve"> </w:t>
      </w:r>
      <w:r w:rsidR="00A225EC">
        <w:t>enables</w:t>
      </w:r>
      <w:r>
        <w:t xml:space="preserve"> </w:t>
      </w:r>
      <w:r w:rsidR="00C124BD">
        <w:t>automatic</w:t>
      </w:r>
      <w:r w:rsidR="001813D6">
        <w:t xml:space="preserve"> repair of</w:t>
      </w:r>
      <w:r w:rsidR="0019170A">
        <w:t xml:space="preserve"> </w:t>
      </w:r>
      <w:r w:rsidR="00D132FE">
        <w:t>repair</w:t>
      </w:r>
      <w:r w:rsidR="00C124BD">
        <w:t xml:space="preserve"> of</w:t>
      </w:r>
      <w:r w:rsidR="0019170A">
        <w:t xml:space="preserve"> incorrect </w:t>
      </w:r>
      <w:r w:rsidR="00C124BD">
        <w:t>stop coordinates and route types</w:t>
      </w:r>
      <w:r w:rsidR="0082573E">
        <w:t>;</w:t>
      </w:r>
      <w:r>
        <w:t xml:space="preserve"> </w:t>
      </w:r>
      <w:r w:rsidR="00F5607E">
        <w:t>customized</w:t>
      </w:r>
      <w:r w:rsidR="007E29B5">
        <w:t xml:space="preserve"> </w:t>
      </w:r>
      <w:r w:rsidR="0055255F">
        <w:t>PTAL analyses</w:t>
      </w:r>
      <w:r w:rsidR="007E29B5">
        <w:t xml:space="preserve"> limited to </w:t>
      </w:r>
      <w:r w:rsidR="00F5607E">
        <w:t>specific services, service dates, and service times</w:t>
      </w:r>
      <w:r w:rsidR="00ED0FA9">
        <w:t>;</w:t>
      </w:r>
      <w:r w:rsidR="00B3661F">
        <w:t xml:space="preserve"> </w:t>
      </w:r>
      <w:r w:rsidR="00B3661F" w:rsidRPr="00CD5D91">
        <w:t>Service Proportional Weighting</w:t>
      </w:r>
      <w:r w:rsidR="00B3661F">
        <w:t>, a</w:t>
      </w:r>
      <w:r w:rsidR="00B3661F" w:rsidRPr="00B3661F">
        <w:t xml:space="preserve"> custom weighting </w:t>
      </w:r>
      <w:r w:rsidR="00BB46EA">
        <w:t xml:space="preserve">used </w:t>
      </w:r>
      <w:r w:rsidR="00B3661F" w:rsidRPr="00B3661F">
        <w:t>to highlight scoring differences when a service does not operate on all days within the “Mon-Fri” range</w:t>
      </w:r>
      <w:r w:rsidR="00ED0FA9">
        <w:t>;</w:t>
      </w:r>
      <w:r w:rsidR="00926506">
        <w:t xml:space="preserve"> and </w:t>
      </w:r>
      <w:r w:rsidR="007058AE">
        <w:t>cus</w:t>
      </w:r>
      <w:r w:rsidR="00BB46EA">
        <w:t>tomizable</w:t>
      </w:r>
      <w:r w:rsidR="007058AE">
        <w:t xml:space="preserve"> </w:t>
      </w:r>
      <w:proofErr w:type="spellStart"/>
      <w:r w:rsidR="007058AE">
        <w:t>symbology</w:t>
      </w:r>
      <w:proofErr w:type="spellEnd"/>
      <w:r w:rsidR="00BB46EA">
        <w:t>.</w:t>
      </w:r>
    </w:p>
    <w:p w:rsidR="00260072" w:rsidRPr="00260072" w:rsidRDefault="00260072" w:rsidP="00AE124B">
      <w:pPr>
        <w:ind w:firstLine="0"/>
      </w:pPr>
    </w:p>
    <w:p w:rsidR="00C94721" w:rsidRDefault="00A225EC" w:rsidP="00265BDA">
      <w:pPr>
        <w:ind w:firstLine="0"/>
      </w:pPr>
      <w:r>
        <w:t xml:space="preserve">The ATOS toolbox </w:t>
      </w:r>
      <w:r w:rsidR="00860D9C">
        <w:t>focuses on walking and cycling</w:t>
      </w:r>
      <w:r w:rsidR="00260072">
        <w:t xml:space="preserve">; </w:t>
      </w:r>
      <w:r w:rsidR="00912F26">
        <w:t xml:space="preserve">allows the user to </w:t>
      </w:r>
      <w:r w:rsidR="00DD2308">
        <w:t>customize</w:t>
      </w:r>
      <w:r w:rsidR="00912F26">
        <w:t xml:space="preserve"> the number of </w:t>
      </w:r>
      <w:r w:rsidR="0006641E">
        <w:t>service</w:t>
      </w:r>
      <w:r w:rsidR="00912F26">
        <w:t xml:space="preserve"> type</w:t>
      </w:r>
      <w:r w:rsidR="00C6038E">
        <w:t xml:space="preserve">s </w:t>
      </w:r>
      <w:r w:rsidR="00DD2308">
        <w:t>and travel time cut-offs for analysis</w:t>
      </w:r>
      <w:r w:rsidR="00260072">
        <w:t xml:space="preserve">; </w:t>
      </w:r>
      <w:r w:rsidR="00BF6088" w:rsidRPr="00260072">
        <w:rPr>
          <w:lang w:val="en-IE"/>
        </w:rPr>
        <w:t>applies</w:t>
      </w:r>
      <w:r w:rsidR="00FC41C8" w:rsidRPr="00260072">
        <w:rPr>
          <w:lang w:val="en-IE"/>
        </w:rPr>
        <w:t xml:space="preserve"> negative weighting</w:t>
      </w:r>
      <w:r w:rsidR="00BF6088" w:rsidRPr="00260072">
        <w:rPr>
          <w:lang w:val="en-IE"/>
        </w:rPr>
        <w:t>s</w:t>
      </w:r>
      <w:r w:rsidR="00FC41C8" w:rsidRPr="00260072">
        <w:rPr>
          <w:lang w:val="en-IE"/>
        </w:rPr>
        <w:t xml:space="preserve"> </w:t>
      </w:r>
      <w:r w:rsidR="00BF6088" w:rsidRPr="00260072">
        <w:rPr>
          <w:lang w:val="en-IE"/>
        </w:rPr>
        <w:t xml:space="preserve">to </w:t>
      </w:r>
      <w:r w:rsidR="008F72B5" w:rsidRPr="00260072">
        <w:rPr>
          <w:lang w:val="en-IE"/>
        </w:rPr>
        <w:t>illustrat</w:t>
      </w:r>
      <w:r w:rsidR="00BF6088" w:rsidRPr="00260072">
        <w:rPr>
          <w:lang w:val="en-IE"/>
        </w:rPr>
        <w:t>e</w:t>
      </w:r>
      <w:r w:rsidR="008F72B5" w:rsidRPr="00260072">
        <w:rPr>
          <w:lang w:val="en-IE"/>
        </w:rPr>
        <w:t xml:space="preserve"> that not all </w:t>
      </w:r>
      <w:r w:rsidR="00461989" w:rsidRPr="00260072">
        <w:rPr>
          <w:b/>
          <w:bCs/>
          <w:lang w:val="en-IE"/>
        </w:rPr>
        <w:t>{X}</w:t>
      </w:r>
      <w:r w:rsidR="00461989" w:rsidRPr="00260072">
        <w:rPr>
          <w:lang w:val="en-IE"/>
        </w:rPr>
        <w:t xml:space="preserve"> </w:t>
      </w:r>
      <w:r w:rsidR="008F72B5" w:rsidRPr="00260072">
        <w:rPr>
          <w:lang w:val="en-IE"/>
        </w:rPr>
        <w:t>services were reachable within the allowed travel time</w:t>
      </w:r>
      <w:r w:rsidR="00260072">
        <w:rPr>
          <w:lang w:val="en-IE"/>
        </w:rPr>
        <w:t>;</w:t>
      </w:r>
      <w:r>
        <w:t xml:space="preserve"> </w:t>
      </w:r>
      <w:r w:rsidR="00FF1FEA" w:rsidRPr="0013704F">
        <w:t xml:space="preserve">allows both positive and negative weightings to be applied </w:t>
      </w:r>
      <w:r w:rsidR="00FF1FEA">
        <w:t>if the travel times are greater or less than a specified travel time</w:t>
      </w:r>
      <w:r w:rsidR="00265BDA">
        <w:t>;</w:t>
      </w:r>
      <w:r w:rsidR="00AE124B">
        <w:t xml:space="preserve"> and </w:t>
      </w:r>
      <w:r w:rsidR="00265BDA">
        <w:t xml:space="preserve">enables customizable </w:t>
      </w:r>
      <w:proofErr w:type="spellStart"/>
      <w:r w:rsidR="00265BDA">
        <w:t>symbology</w:t>
      </w:r>
      <w:proofErr w:type="spellEnd"/>
      <w:r w:rsidR="00E43CF0">
        <w:t>.</w:t>
      </w:r>
    </w:p>
    <w:p w:rsidR="00655F27" w:rsidRPr="00F554A3" w:rsidRDefault="00655F27" w:rsidP="00655F27">
      <w:pPr>
        <w:pStyle w:val="heading1"/>
      </w:pPr>
      <w:r>
        <w:t>How we made them on-line tools</w:t>
      </w:r>
    </w:p>
    <w:p w:rsidR="00F82D0B" w:rsidRPr="00655F27" w:rsidRDefault="008176EB" w:rsidP="00BA082F">
      <w:pPr>
        <w:ind w:firstLine="0"/>
      </w:pPr>
      <w:r>
        <w:t>T</w:t>
      </w:r>
      <w:r w:rsidR="00362B82">
        <w:t xml:space="preserve">o </w:t>
      </w:r>
      <w:r w:rsidR="006C49A7">
        <w:t>maximize</w:t>
      </w:r>
      <w:r w:rsidR="00362B82">
        <w:t xml:space="preserve"> interactivity and accessibility</w:t>
      </w:r>
      <w:r w:rsidR="001C667C">
        <w:t>,</w:t>
      </w:r>
      <w:r w:rsidR="00362B82">
        <w:t xml:space="preserve"> and to enable</w:t>
      </w:r>
      <w:r w:rsidR="001816AD">
        <w:t xml:space="preserve"> local authorities and </w:t>
      </w:r>
      <w:r w:rsidR="009149CC">
        <w:t>authorized</w:t>
      </w:r>
      <w:r w:rsidR="001816AD">
        <w:t xml:space="preserve"> third parties to </w:t>
      </w:r>
      <w:r w:rsidR="009149CC">
        <w:t>execute</w:t>
      </w:r>
      <w:r w:rsidR="001816AD">
        <w:t xml:space="preserve"> their own ATOS and PTAL analyses</w:t>
      </w:r>
      <w:r w:rsidR="00485AC2">
        <w:t>, t</w:t>
      </w:r>
      <w:r w:rsidR="00D33559">
        <w:t xml:space="preserve">he toolboxes were converted to on-line tools </w:t>
      </w:r>
      <w:r w:rsidR="00BA082F">
        <w:t xml:space="preserve">by publishing the </w:t>
      </w:r>
      <w:r w:rsidR="00787609">
        <w:t xml:space="preserve">ArcGIS Python script tools to ArcGIS </w:t>
      </w:r>
      <w:r w:rsidR="00C77BAD">
        <w:t xml:space="preserve">Server as </w:t>
      </w:r>
      <w:proofErr w:type="spellStart"/>
      <w:r w:rsidR="00787609">
        <w:t>geoprocessing</w:t>
      </w:r>
      <w:proofErr w:type="spellEnd"/>
      <w:r w:rsidR="00787609">
        <w:t xml:space="preserve"> services.</w:t>
      </w:r>
      <w:r w:rsidR="00BA082F">
        <w:t xml:space="preserve"> </w:t>
      </w:r>
      <w:r w:rsidR="00301EE7">
        <w:t xml:space="preserve">Safe </w:t>
      </w:r>
      <w:r w:rsidR="005E78E3">
        <w:t>Software’s</w:t>
      </w:r>
      <w:r w:rsidR="00301EE7">
        <w:t xml:space="preserve"> FME</w:t>
      </w:r>
      <w:r w:rsidR="005E78E3">
        <w:t xml:space="preserve"> Flow </w:t>
      </w:r>
      <w:r w:rsidR="00182821">
        <w:t>Server</w:t>
      </w:r>
      <w:r w:rsidR="005E78E3">
        <w:t xml:space="preserve"> </w:t>
      </w:r>
      <w:r w:rsidR="00A6383F">
        <w:t>A</w:t>
      </w:r>
      <w:r w:rsidR="005E78E3">
        <w:t xml:space="preserve">pps are used to provide </w:t>
      </w:r>
      <w:r w:rsidR="007F398D">
        <w:t xml:space="preserve">secure </w:t>
      </w:r>
      <w:r w:rsidR="005E78E3">
        <w:t xml:space="preserve">web-accessible </w:t>
      </w:r>
      <w:r w:rsidR="00756019">
        <w:t>user-interfaces</w:t>
      </w:r>
      <w:r w:rsidR="005E78E3">
        <w:t xml:space="preserve"> for both the ATOS and PTAL analyses.</w:t>
      </w:r>
      <w:r w:rsidR="00772E90">
        <w:t xml:space="preserve"> </w:t>
      </w:r>
      <w:r w:rsidR="00F82D0B">
        <w:t>The ATOS</w:t>
      </w:r>
      <w:r w:rsidR="0085542B">
        <w:t xml:space="preserve"> and PTAL toolboxes along with other components of the </w:t>
      </w:r>
      <w:r w:rsidR="003C493C">
        <w:t>NTA’s connectivity</w:t>
      </w:r>
      <w:r w:rsidR="0085542B" w:rsidRPr="0085542B">
        <w:t xml:space="preserve"> toolkit </w:t>
      </w:r>
      <w:r w:rsidR="008C6832">
        <w:t>are</w:t>
      </w:r>
      <w:r w:rsidR="0085542B">
        <w:t xml:space="preserve"> made </w:t>
      </w:r>
      <w:r w:rsidR="0085542B" w:rsidRPr="0085542B">
        <w:t xml:space="preserve">available </w:t>
      </w:r>
      <w:r w:rsidR="00BA2C94">
        <w:t>via</w:t>
      </w:r>
      <w:r w:rsidR="0085542B" w:rsidRPr="0085542B">
        <w:t xml:space="preserve"> a</w:t>
      </w:r>
      <w:r w:rsidR="00BA2C94">
        <w:t xml:space="preserve"> secure</w:t>
      </w:r>
      <w:r w:rsidR="00033A84">
        <w:t xml:space="preserve"> NTA</w:t>
      </w:r>
      <w:r w:rsidR="0085542B" w:rsidRPr="0085542B">
        <w:t xml:space="preserve"> </w:t>
      </w:r>
      <w:r w:rsidR="0085542B">
        <w:t>Data Analysis w</w:t>
      </w:r>
      <w:r w:rsidR="0085542B" w:rsidRPr="0085542B">
        <w:t>eb</w:t>
      </w:r>
      <w:r w:rsidR="00F71F04">
        <w:t>-portal.</w:t>
      </w:r>
    </w:p>
    <w:p w:rsidR="00655F27" w:rsidRDefault="00655F27" w:rsidP="00655F27">
      <w:pPr>
        <w:pStyle w:val="heading1"/>
      </w:pPr>
      <w:r>
        <w:t>Applying the tools to Local Transport Plans</w:t>
      </w:r>
    </w:p>
    <w:p w:rsidR="00E31516" w:rsidRDefault="005C5501" w:rsidP="005C5501">
      <w:pPr>
        <w:pStyle w:val="p1a"/>
      </w:pPr>
      <w:r>
        <w:t>Both toolkits are now widely used in developing Local Transport Plans</w:t>
      </w:r>
      <w:r w:rsidR="001A4D75">
        <w:t xml:space="preserve"> (LTPs)</w:t>
      </w:r>
      <w:r>
        <w:t>.</w:t>
      </w:r>
    </w:p>
    <w:p w:rsidR="00E31516" w:rsidRDefault="001A4D75" w:rsidP="005C5501">
      <w:pPr>
        <w:pStyle w:val="heading2"/>
      </w:pPr>
      <w:r>
        <w:t>Using PTAL in Local Transport Plans</w:t>
      </w:r>
    </w:p>
    <w:p w:rsidR="00650326" w:rsidRPr="00650326" w:rsidRDefault="005C5501" w:rsidP="00BE4E31">
      <w:pPr>
        <w:pStyle w:val="p1a"/>
      </w:pPr>
      <w:r w:rsidRPr="005C5501">
        <w:t>At the local level it is possible to use PTAL for more in-depth analysis.  A poor PTAL score or a sudden change from a high to a low score could indicate where there is opportunity to improve permeability in the local network or where the frequency level could be improved.  It is a relatively easy task to edit the underlying network to include a new walk link through a previously sealed off cul-de-sac, the PTAL tool is run again to see what impact the new walk link has had.  For existing residential areas, this improvement can be converted to the population that is now within walking distance of PT.</w:t>
      </w:r>
    </w:p>
    <w:p w:rsidR="005C5501" w:rsidRDefault="005C5501" w:rsidP="00650326">
      <w:pPr>
        <w:ind w:firstLine="0"/>
      </w:pPr>
      <w:r w:rsidRPr="005C5501">
        <w:lastRenderedPageBreak/>
        <w:t xml:space="preserve">Introducing a new PT route or improving existing services is </w:t>
      </w:r>
      <w:r>
        <w:t>often the outcome of a Local Transport Plan</w:t>
      </w:r>
      <w:r w:rsidRPr="005C5501">
        <w:t>.  The impact of these can be assessed using the PTAL calculation. A before and after analysis can show if the new service</w:t>
      </w:r>
      <w:r w:rsidR="001A112A">
        <w:t>s</w:t>
      </w:r>
      <w:r w:rsidRPr="005C5501">
        <w:t xml:space="preserve"> or routes </w:t>
      </w:r>
      <w:r w:rsidR="001A112A" w:rsidRPr="005C5501">
        <w:t>have</w:t>
      </w:r>
      <w:r w:rsidRPr="005C5501">
        <w:t xml:space="preserve"> improved the connectivity in the area.</w:t>
      </w:r>
      <w:r>
        <w:t xml:space="preserve">  The NTA are currently investigating the simplest way to incorporate new / test services into the PTAL calculation.</w:t>
      </w:r>
    </w:p>
    <w:p w:rsidR="00E31516" w:rsidRDefault="001A4D75" w:rsidP="00E95218">
      <w:pPr>
        <w:pStyle w:val="heading2"/>
      </w:pPr>
      <w:r>
        <w:t>Using ATOS in Local Transport Plans</w:t>
      </w:r>
    </w:p>
    <w:p w:rsidR="005C5501" w:rsidRDefault="00E31516" w:rsidP="00FC52B1">
      <w:pPr>
        <w:ind w:firstLine="0"/>
        <w:rPr>
          <w:sz w:val="22"/>
          <w:szCs w:val="22"/>
        </w:rPr>
      </w:pPr>
      <w:r w:rsidRPr="00E31516">
        <w:t xml:space="preserve">Like PTAL, ATOS is a useful tool for measuring the permeability of a walk or cycle network.  Poor ATOS scores can indicate where permeability measures may help to improve overall connectivity.  A walk network can be easily edited to demonstrate the before and after scenario.  The images below show that making an existing informal walk link across some park land would </w:t>
      </w:r>
      <w:r w:rsidR="0081096D" w:rsidRPr="00E31516">
        <w:t>open</w:t>
      </w:r>
      <w:r w:rsidRPr="00E31516">
        <w:t xml:space="preserve"> access</w:t>
      </w:r>
      <w:r>
        <w:rPr>
          <w:sz w:val="22"/>
          <w:szCs w:val="22"/>
        </w:rPr>
        <w:t xml:space="preserve"> </w:t>
      </w:r>
      <w:r w:rsidRPr="00E31516">
        <w:t>to a larger area.</w:t>
      </w:r>
      <w:r>
        <w:rPr>
          <w:sz w:val="22"/>
          <w:szCs w:val="22"/>
        </w:rPr>
        <w:t xml:space="preserve">  </w:t>
      </w:r>
    </w:p>
    <w:p w:rsidR="002C731C" w:rsidRDefault="00FC52B1" w:rsidP="002C731C">
      <w:pPr>
        <w:keepNext/>
      </w:pPr>
      <w:r>
        <w:rPr>
          <w:noProof/>
          <w:sz w:val="22"/>
          <w:szCs w:val="22"/>
          <w:lang w:val="en-GB" w:eastAsia="en-GB"/>
        </w:rPr>
        <w:drawing>
          <wp:inline distT="0" distB="0" distL="0" distR="0" wp14:anchorId="409652CB" wp14:editId="516E1190">
            <wp:extent cx="3503746" cy="1970809"/>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OS_InformalLink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8035" cy="1990096"/>
                    </a:xfrm>
                    <a:prstGeom prst="rect">
                      <a:avLst/>
                    </a:prstGeom>
                  </pic:spPr>
                </pic:pic>
              </a:graphicData>
            </a:graphic>
          </wp:inline>
        </w:drawing>
      </w:r>
    </w:p>
    <w:p w:rsidR="00FC52B1" w:rsidRPr="005C5501" w:rsidRDefault="002C731C" w:rsidP="002C731C">
      <w:pPr>
        <w:pStyle w:val="Caption"/>
      </w:pPr>
      <w:r>
        <w:t xml:space="preserve">Figure </w:t>
      </w:r>
      <w:fldSimple w:instr=" SEQ Figure \* ARABIC ">
        <w:r>
          <w:rPr>
            <w:noProof/>
          </w:rPr>
          <w:t>5</w:t>
        </w:r>
      </w:fldSimple>
      <w:r>
        <w:t xml:space="preserve"> - Network changes improve an ATOS score.</w:t>
      </w:r>
    </w:p>
    <w:p w:rsidR="005C5501" w:rsidRDefault="005C5501" w:rsidP="005C5501"/>
    <w:p w:rsidR="00FC52B1" w:rsidRPr="005C5501" w:rsidRDefault="00FC52B1" w:rsidP="0060657D">
      <w:pPr>
        <w:ind w:firstLine="0"/>
      </w:pPr>
      <w:r w:rsidRPr="00FC52B1">
        <w:t xml:space="preserve">Before and after scenarios can be carried out for the re-location of existing services, or to aid in the site selection for new services.  The service location layer required by the ATOS calculation is a point feature </w:t>
      </w:r>
      <w:r w:rsidR="0081096D" w:rsidRPr="00FC52B1">
        <w:t>class,</w:t>
      </w:r>
      <w:r w:rsidRPr="00FC52B1">
        <w:t xml:space="preserve"> so it is easy to edit.  Calculations can be made using the existing network or if the site selection process requires it, the underlying network can be edited.</w:t>
      </w:r>
    </w:p>
    <w:p w:rsidR="001A4D75" w:rsidRDefault="001A4D75" w:rsidP="00AE714F">
      <w:pPr>
        <w:pStyle w:val="heading1"/>
      </w:pPr>
      <w:bookmarkStart w:id="1" w:name="_GoBack"/>
      <w:r>
        <w:t>Conclusion</w:t>
      </w:r>
    </w:p>
    <w:bookmarkEnd w:id="1"/>
    <w:p w:rsidR="00FC52B1" w:rsidRPr="00FC52B1" w:rsidRDefault="00FC52B1" w:rsidP="0060657D">
      <w:pPr>
        <w:ind w:firstLine="0"/>
      </w:pPr>
      <w:r w:rsidRPr="00FC52B1">
        <w:t xml:space="preserve">In every use case it is the intention to bring the integration of Land Use and Transport to the fore when approaching areas for development.  Using a simple score such as PTAL </w:t>
      </w:r>
      <w:r>
        <w:t xml:space="preserve">or ATOS </w:t>
      </w:r>
      <w:r w:rsidRPr="00FC52B1">
        <w:t>can be quickly and easily adopted and understood.</w:t>
      </w:r>
    </w:p>
    <w:p w:rsidR="008C5382" w:rsidRDefault="009B2539" w:rsidP="00606587">
      <w:pPr>
        <w:pStyle w:val="heading1"/>
        <w:numPr>
          <w:ilvl w:val="0"/>
          <w:numId w:val="0"/>
        </w:numPr>
        <w:ind w:left="567" w:hanging="567"/>
      </w:pPr>
      <w:r>
        <w:t>References</w:t>
      </w:r>
    </w:p>
    <w:p w:rsidR="008C5382" w:rsidRPr="00606587" w:rsidRDefault="000000AB" w:rsidP="000D654E">
      <w:pPr>
        <w:pStyle w:val="referenceitem"/>
      </w:pPr>
      <w:r>
        <w:t>Transport for London:</w:t>
      </w:r>
      <w:r w:rsidR="009B2539">
        <w:t xml:space="preserve"> </w:t>
      </w:r>
      <w:r>
        <w:t>Assessing transport connectivity in London (2015</w:t>
      </w:r>
      <w:r w:rsidR="009B2539">
        <w:t>).</w:t>
      </w:r>
    </w:p>
    <w:sectPr w:rsidR="008C5382" w:rsidRPr="00606587" w:rsidSect="009F7FCE">
      <w:headerReference w:type="even" r:id="rId15"/>
      <w:headerReference w:type="default" r:id="rId16"/>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11A" w:rsidRDefault="0039711A">
      <w:r>
        <w:separator/>
      </w:r>
    </w:p>
  </w:endnote>
  <w:endnote w:type="continuationSeparator" w:id="0">
    <w:p w:rsidR="0039711A" w:rsidRDefault="0039711A">
      <w:r>
        <w:continuationSeparator/>
      </w:r>
    </w:p>
  </w:endnote>
  <w:endnote w:type="continuationNotice" w:id="1">
    <w:p w:rsidR="0039711A" w:rsidRDefault="003971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11A" w:rsidRDefault="0039711A" w:rsidP="009F7FCE">
      <w:pPr>
        <w:ind w:firstLine="0"/>
      </w:pPr>
      <w:r>
        <w:separator/>
      </w:r>
    </w:p>
  </w:footnote>
  <w:footnote w:type="continuationSeparator" w:id="0">
    <w:p w:rsidR="0039711A" w:rsidRDefault="0039711A" w:rsidP="009F7FCE">
      <w:pPr>
        <w:ind w:firstLine="0"/>
      </w:pPr>
      <w:r>
        <w:continuationSeparator/>
      </w:r>
    </w:p>
  </w:footnote>
  <w:footnote w:type="continuationNotice" w:id="1">
    <w:p w:rsidR="0039711A" w:rsidRDefault="003971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539" w:rsidRDefault="009B2539" w:rsidP="00F321B4">
    <w:pPr>
      <w:pStyle w:val="Header"/>
    </w:pPr>
    <w:r>
      <w:fldChar w:fldCharType="begin"/>
    </w:r>
    <w:r>
      <w:instrText>PAGE   \* MERGEFORMAT</w:instrText>
    </w:r>
    <w:r>
      <w:fldChar w:fldCharType="separate"/>
    </w:r>
    <w:r w:rsidR="00AE714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8C5" w:rsidRDefault="002D48C5" w:rsidP="002D48C5">
    <w:pPr>
      <w:pStyle w:val="Header"/>
      <w:jc w:val="right"/>
    </w:pPr>
    <w:r>
      <w:fldChar w:fldCharType="begin"/>
    </w:r>
    <w:r>
      <w:instrText>PAGE   \* MERGEFORMAT</w:instrText>
    </w:r>
    <w:r>
      <w:fldChar w:fldCharType="separate"/>
    </w:r>
    <w:r w:rsidR="00AE714F">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307E"/>
    <w:multiLevelType w:val="hybridMultilevel"/>
    <w:tmpl w:val="19C05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10C48"/>
    <w:multiLevelType w:val="multilevel"/>
    <w:tmpl w:val="A64C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26462"/>
    <w:multiLevelType w:val="multilevel"/>
    <w:tmpl w:val="B448D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C6AE8"/>
    <w:multiLevelType w:val="hybridMultilevel"/>
    <w:tmpl w:val="3948E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85905"/>
    <w:multiLevelType w:val="hybridMultilevel"/>
    <w:tmpl w:val="D86C250C"/>
    <w:lvl w:ilvl="0" w:tplc="0809000F">
      <w:start w:val="1"/>
      <w:numFmt w:val="decimal"/>
      <w:lvlText w:val="%1."/>
      <w:lvlJc w:val="left"/>
      <w:pPr>
        <w:ind w:left="587" w:hanging="360"/>
      </w:p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6931066"/>
    <w:multiLevelType w:val="multilevel"/>
    <w:tmpl w:val="AB8CC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6225D"/>
    <w:multiLevelType w:val="hybridMultilevel"/>
    <w:tmpl w:val="248E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67C10"/>
    <w:multiLevelType w:val="multilevel"/>
    <w:tmpl w:val="74B4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A4C77"/>
    <w:multiLevelType w:val="hybridMultilevel"/>
    <w:tmpl w:val="BF745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7B5FCC"/>
    <w:multiLevelType w:val="hybridMultilevel"/>
    <w:tmpl w:val="B19074B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15:restartNumberingAfterBreak="0">
    <w:nsid w:val="505C3256"/>
    <w:multiLevelType w:val="hybridMultilevel"/>
    <w:tmpl w:val="A8401C8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2" w15:restartNumberingAfterBreak="0">
    <w:nsid w:val="57F17639"/>
    <w:multiLevelType w:val="hybridMultilevel"/>
    <w:tmpl w:val="8DAEF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2C737E"/>
    <w:multiLevelType w:val="multilevel"/>
    <w:tmpl w:val="196A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FD200E"/>
    <w:multiLevelType w:val="hybridMultilevel"/>
    <w:tmpl w:val="D0AAC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13E2476"/>
    <w:multiLevelType w:val="hybridMultilevel"/>
    <w:tmpl w:val="F06A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5"/>
  </w:num>
  <w:num w:numId="2">
    <w:abstractNumId w:val="5"/>
  </w:num>
  <w:num w:numId="3">
    <w:abstractNumId w:val="15"/>
  </w:num>
  <w:num w:numId="4">
    <w:abstractNumId w:val="15"/>
  </w:num>
  <w:num w:numId="5">
    <w:abstractNumId w:val="18"/>
  </w:num>
  <w:num w:numId="6">
    <w:abstractNumId w:val="18"/>
  </w:num>
  <w:num w:numId="7">
    <w:abstractNumId w:val="17"/>
  </w:num>
  <w:num w:numId="8">
    <w:abstractNumId w:val="19"/>
  </w:num>
  <w:num w:numId="9">
    <w:abstractNumId w:val="19"/>
  </w:num>
  <w:num w:numId="10">
    <w:abstractNumId w:val="3"/>
  </w:num>
  <w:num w:numId="11">
    <w:abstractNumId w:val="8"/>
  </w:num>
  <w:num w:numId="12">
    <w:abstractNumId w:val="13"/>
  </w:num>
  <w:num w:numId="13">
    <w:abstractNumId w:val="12"/>
  </w:num>
  <w:num w:numId="14">
    <w:abstractNumId w:val="0"/>
  </w:num>
  <w:num w:numId="15">
    <w:abstractNumId w:val="10"/>
  </w:num>
  <w:num w:numId="16">
    <w:abstractNumId w:val="14"/>
  </w:num>
  <w:num w:numId="17">
    <w:abstractNumId w:val="1"/>
  </w:num>
  <w:num w:numId="18">
    <w:abstractNumId w:val="4"/>
  </w:num>
  <w:num w:numId="19">
    <w:abstractNumId w:val="11"/>
  </w:num>
  <w:num w:numId="20">
    <w:abstractNumId w:val="6"/>
  </w:num>
  <w:num w:numId="21">
    <w:abstractNumId w:val="2"/>
  </w:num>
  <w:num w:numId="22">
    <w:abstractNumId w:val="9"/>
  </w:num>
  <w:num w:numId="23">
    <w:abstractNumId w:val="16"/>
  </w:num>
  <w:num w:numId="2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227"/>
  <w:autoHyphenation/>
  <w:hyphenationZone w:val="400"/>
  <w:doNotHyphenateCaps/>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000AB"/>
    <w:rsid w:val="00004139"/>
    <w:rsid w:val="000078B6"/>
    <w:rsid w:val="0001583C"/>
    <w:rsid w:val="000214F6"/>
    <w:rsid w:val="000248EE"/>
    <w:rsid w:val="00027EDC"/>
    <w:rsid w:val="00030F62"/>
    <w:rsid w:val="00032D69"/>
    <w:rsid w:val="00033A84"/>
    <w:rsid w:val="00043EFE"/>
    <w:rsid w:val="0005093E"/>
    <w:rsid w:val="00051DDB"/>
    <w:rsid w:val="00052795"/>
    <w:rsid w:val="0006641E"/>
    <w:rsid w:val="00071631"/>
    <w:rsid w:val="000740F4"/>
    <w:rsid w:val="00074303"/>
    <w:rsid w:val="00074B82"/>
    <w:rsid w:val="00083528"/>
    <w:rsid w:val="00090462"/>
    <w:rsid w:val="00091277"/>
    <w:rsid w:val="00093684"/>
    <w:rsid w:val="000B5C9D"/>
    <w:rsid w:val="000B7E3A"/>
    <w:rsid w:val="000C43D0"/>
    <w:rsid w:val="000D654E"/>
    <w:rsid w:val="000D7C14"/>
    <w:rsid w:val="000E5E03"/>
    <w:rsid w:val="000F0F48"/>
    <w:rsid w:val="000F1DBD"/>
    <w:rsid w:val="0010649C"/>
    <w:rsid w:val="0010765B"/>
    <w:rsid w:val="001103EA"/>
    <w:rsid w:val="00125485"/>
    <w:rsid w:val="001266B5"/>
    <w:rsid w:val="00136887"/>
    <w:rsid w:val="0013704F"/>
    <w:rsid w:val="001600F3"/>
    <w:rsid w:val="00161666"/>
    <w:rsid w:val="00162A87"/>
    <w:rsid w:val="00174B3E"/>
    <w:rsid w:val="001773B0"/>
    <w:rsid w:val="001813D6"/>
    <w:rsid w:val="001816AD"/>
    <w:rsid w:val="00182821"/>
    <w:rsid w:val="001838FE"/>
    <w:rsid w:val="0018687B"/>
    <w:rsid w:val="001872E3"/>
    <w:rsid w:val="0019170A"/>
    <w:rsid w:val="001A02DD"/>
    <w:rsid w:val="001A02F0"/>
    <w:rsid w:val="001A112A"/>
    <w:rsid w:val="001A3E56"/>
    <w:rsid w:val="001A4D75"/>
    <w:rsid w:val="001B11C3"/>
    <w:rsid w:val="001B29F4"/>
    <w:rsid w:val="001C17FE"/>
    <w:rsid w:val="001C1B40"/>
    <w:rsid w:val="001C667C"/>
    <w:rsid w:val="001C7734"/>
    <w:rsid w:val="001E0999"/>
    <w:rsid w:val="001E1530"/>
    <w:rsid w:val="001F440D"/>
    <w:rsid w:val="00201C95"/>
    <w:rsid w:val="00205A2C"/>
    <w:rsid w:val="00211601"/>
    <w:rsid w:val="00217DF1"/>
    <w:rsid w:val="00220604"/>
    <w:rsid w:val="00223564"/>
    <w:rsid w:val="002405CA"/>
    <w:rsid w:val="0024135A"/>
    <w:rsid w:val="0024499A"/>
    <w:rsid w:val="00247E64"/>
    <w:rsid w:val="0025781B"/>
    <w:rsid w:val="00260072"/>
    <w:rsid w:val="00262ECB"/>
    <w:rsid w:val="00265BDA"/>
    <w:rsid w:val="00266930"/>
    <w:rsid w:val="00267A3A"/>
    <w:rsid w:val="00273E6E"/>
    <w:rsid w:val="00277B37"/>
    <w:rsid w:val="00282E3A"/>
    <w:rsid w:val="00284016"/>
    <w:rsid w:val="00286B27"/>
    <w:rsid w:val="00291E59"/>
    <w:rsid w:val="00294ECB"/>
    <w:rsid w:val="002A05F7"/>
    <w:rsid w:val="002A3160"/>
    <w:rsid w:val="002B2620"/>
    <w:rsid w:val="002B441F"/>
    <w:rsid w:val="002B4A2B"/>
    <w:rsid w:val="002B5CD6"/>
    <w:rsid w:val="002C2D20"/>
    <w:rsid w:val="002C731C"/>
    <w:rsid w:val="002D46D9"/>
    <w:rsid w:val="002D48C5"/>
    <w:rsid w:val="002D5593"/>
    <w:rsid w:val="002D7D8F"/>
    <w:rsid w:val="002E4B0F"/>
    <w:rsid w:val="002E4C64"/>
    <w:rsid w:val="002F1B55"/>
    <w:rsid w:val="00301EE7"/>
    <w:rsid w:val="003021D3"/>
    <w:rsid w:val="003033BD"/>
    <w:rsid w:val="003049E0"/>
    <w:rsid w:val="00306E04"/>
    <w:rsid w:val="00321C26"/>
    <w:rsid w:val="00325670"/>
    <w:rsid w:val="003354AF"/>
    <w:rsid w:val="003375A9"/>
    <w:rsid w:val="00340E19"/>
    <w:rsid w:val="00342BCC"/>
    <w:rsid w:val="00351B23"/>
    <w:rsid w:val="00362B82"/>
    <w:rsid w:val="00367D1F"/>
    <w:rsid w:val="00370FE7"/>
    <w:rsid w:val="003758D8"/>
    <w:rsid w:val="00376A45"/>
    <w:rsid w:val="003852E7"/>
    <w:rsid w:val="003912DB"/>
    <w:rsid w:val="0039711A"/>
    <w:rsid w:val="003B0FB9"/>
    <w:rsid w:val="003C0AB1"/>
    <w:rsid w:val="003C4540"/>
    <w:rsid w:val="003C493C"/>
    <w:rsid w:val="003D1D60"/>
    <w:rsid w:val="003D6ADD"/>
    <w:rsid w:val="003F0CCE"/>
    <w:rsid w:val="003F78EF"/>
    <w:rsid w:val="00413343"/>
    <w:rsid w:val="00416366"/>
    <w:rsid w:val="004222BE"/>
    <w:rsid w:val="004356E4"/>
    <w:rsid w:val="00437773"/>
    <w:rsid w:val="0044118D"/>
    <w:rsid w:val="004501D9"/>
    <w:rsid w:val="00451CE6"/>
    <w:rsid w:val="0046073F"/>
    <w:rsid w:val="00461989"/>
    <w:rsid w:val="00461EC2"/>
    <w:rsid w:val="0046373B"/>
    <w:rsid w:val="004778C3"/>
    <w:rsid w:val="00485AC2"/>
    <w:rsid w:val="00487BDC"/>
    <w:rsid w:val="004959D8"/>
    <w:rsid w:val="00497303"/>
    <w:rsid w:val="004A1F02"/>
    <w:rsid w:val="004A5612"/>
    <w:rsid w:val="004A5E80"/>
    <w:rsid w:val="004A60E1"/>
    <w:rsid w:val="004A6863"/>
    <w:rsid w:val="004B4027"/>
    <w:rsid w:val="004B5CAC"/>
    <w:rsid w:val="004C76E0"/>
    <w:rsid w:val="004D254C"/>
    <w:rsid w:val="004D65F6"/>
    <w:rsid w:val="004E6410"/>
    <w:rsid w:val="004F1C69"/>
    <w:rsid w:val="004F5DB8"/>
    <w:rsid w:val="004F7B01"/>
    <w:rsid w:val="00507367"/>
    <w:rsid w:val="00514D5E"/>
    <w:rsid w:val="0052199F"/>
    <w:rsid w:val="0052462C"/>
    <w:rsid w:val="005309C4"/>
    <w:rsid w:val="005513B0"/>
    <w:rsid w:val="00551E61"/>
    <w:rsid w:val="0055255F"/>
    <w:rsid w:val="0055369C"/>
    <w:rsid w:val="00556305"/>
    <w:rsid w:val="005661E7"/>
    <w:rsid w:val="005726D4"/>
    <w:rsid w:val="00572DCD"/>
    <w:rsid w:val="005740DC"/>
    <w:rsid w:val="005748B9"/>
    <w:rsid w:val="005849CE"/>
    <w:rsid w:val="00591981"/>
    <w:rsid w:val="0059199C"/>
    <w:rsid w:val="005A2DD3"/>
    <w:rsid w:val="005A2F37"/>
    <w:rsid w:val="005A3674"/>
    <w:rsid w:val="005A3A12"/>
    <w:rsid w:val="005A4270"/>
    <w:rsid w:val="005C0861"/>
    <w:rsid w:val="005C1BF9"/>
    <w:rsid w:val="005C3E02"/>
    <w:rsid w:val="005C5501"/>
    <w:rsid w:val="005D3EF3"/>
    <w:rsid w:val="005D40C1"/>
    <w:rsid w:val="005D4CA3"/>
    <w:rsid w:val="005D6543"/>
    <w:rsid w:val="005E6A86"/>
    <w:rsid w:val="005E78E3"/>
    <w:rsid w:val="005F185D"/>
    <w:rsid w:val="005F2ABE"/>
    <w:rsid w:val="005F3395"/>
    <w:rsid w:val="005F4547"/>
    <w:rsid w:val="005F777D"/>
    <w:rsid w:val="00604BF1"/>
    <w:rsid w:val="0060657D"/>
    <w:rsid w:val="006075DC"/>
    <w:rsid w:val="00610894"/>
    <w:rsid w:val="00610A22"/>
    <w:rsid w:val="00612300"/>
    <w:rsid w:val="00612C44"/>
    <w:rsid w:val="00615653"/>
    <w:rsid w:val="0061725D"/>
    <w:rsid w:val="00625789"/>
    <w:rsid w:val="0063549B"/>
    <w:rsid w:val="00635C74"/>
    <w:rsid w:val="006368AC"/>
    <w:rsid w:val="00641F43"/>
    <w:rsid w:val="00645497"/>
    <w:rsid w:val="00650326"/>
    <w:rsid w:val="006503EB"/>
    <w:rsid w:val="00651BA5"/>
    <w:rsid w:val="00655F27"/>
    <w:rsid w:val="0066411B"/>
    <w:rsid w:val="00666BB0"/>
    <w:rsid w:val="006672DA"/>
    <w:rsid w:val="00672ECD"/>
    <w:rsid w:val="0067429D"/>
    <w:rsid w:val="00675B68"/>
    <w:rsid w:val="00681913"/>
    <w:rsid w:val="00692407"/>
    <w:rsid w:val="006947DA"/>
    <w:rsid w:val="006A039E"/>
    <w:rsid w:val="006A0490"/>
    <w:rsid w:val="006B7788"/>
    <w:rsid w:val="006B7FEE"/>
    <w:rsid w:val="006C0757"/>
    <w:rsid w:val="006C3D01"/>
    <w:rsid w:val="006C49A7"/>
    <w:rsid w:val="006C7850"/>
    <w:rsid w:val="006D3084"/>
    <w:rsid w:val="006E02E1"/>
    <w:rsid w:val="006F0E36"/>
    <w:rsid w:val="006F135B"/>
    <w:rsid w:val="006F2FF0"/>
    <w:rsid w:val="007058AE"/>
    <w:rsid w:val="00707A64"/>
    <w:rsid w:val="007102BA"/>
    <w:rsid w:val="00715D58"/>
    <w:rsid w:val="0072418E"/>
    <w:rsid w:val="00730181"/>
    <w:rsid w:val="007378E8"/>
    <w:rsid w:val="00741EE3"/>
    <w:rsid w:val="0075185A"/>
    <w:rsid w:val="00756019"/>
    <w:rsid w:val="0076497B"/>
    <w:rsid w:val="0076576C"/>
    <w:rsid w:val="00772E90"/>
    <w:rsid w:val="00781AD5"/>
    <w:rsid w:val="00787609"/>
    <w:rsid w:val="007A1429"/>
    <w:rsid w:val="007A3C11"/>
    <w:rsid w:val="007A6B03"/>
    <w:rsid w:val="007B1FF2"/>
    <w:rsid w:val="007B30E4"/>
    <w:rsid w:val="007C55B6"/>
    <w:rsid w:val="007D316A"/>
    <w:rsid w:val="007D6514"/>
    <w:rsid w:val="007E29B5"/>
    <w:rsid w:val="007E5736"/>
    <w:rsid w:val="007E5CBA"/>
    <w:rsid w:val="007F0426"/>
    <w:rsid w:val="007F2721"/>
    <w:rsid w:val="007F398D"/>
    <w:rsid w:val="007F5D32"/>
    <w:rsid w:val="008046DE"/>
    <w:rsid w:val="0081096D"/>
    <w:rsid w:val="0081261A"/>
    <w:rsid w:val="008176EB"/>
    <w:rsid w:val="00822D39"/>
    <w:rsid w:val="0082573E"/>
    <w:rsid w:val="00830F48"/>
    <w:rsid w:val="008343AD"/>
    <w:rsid w:val="008349E4"/>
    <w:rsid w:val="00836F17"/>
    <w:rsid w:val="008371A2"/>
    <w:rsid w:val="0085098A"/>
    <w:rsid w:val="0085448C"/>
    <w:rsid w:val="0085542B"/>
    <w:rsid w:val="00856163"/>
    <w:rsid w:val="00860D9C"/>
    <w:rsid w:val="00861FE3"/>
    <w:rsid w:val="00862945"/>
    <w:rsid w:val="008638DB"/>
    <w:rsid w:val="0088027D"/>
    <w:rsid w:val="00880D85"/>
    <w:rsid w:val="008833AF"/>
    <w:rsid w:val="008844D8"/>
    <w:rsid w:val="0088606E"/>
    <w:rsid w:val="00891C40"/>
    <w:rsid w:val="00891D05"/>
    <w:rsid w:val="00893050"/>
    <w:rsid w:val="00893143"/>
    <w:rsid w:val="00894FC6"/>
    <w:rsid w:val="008A1913"/>
    <w:rsid w:val="008A2993"/>
    <w:rsid w:val="008B6E9F"/>
    <w:rsid w:val="008C5382"/>
    <w:rsid w:val="008C5400"/>
    <w:rsid w:val="008C647C"/>
    <w:rsid w:val="008C6832"/>
    <w:rsid w:val="008D1904"/>
    <w:rsid w:val="008D322D"/>
    <w:rsid w:val="008D35CA"/>
    <w:rsid w:val="008D76A2"/>
    <w:rsid w:val="008E71AB"/>
    <w:rsid w:val="008F05C2"/>
    <w:rsid w:val="008F2D4C"/>
    <w:rsid w:val="008F72B5"/>
    <w:rsid w:val="0090117B"/>
    <w:rsid w:val="00912F26"/>
    <w:rsid w:val="00913352"/>
    <w:rsid w:val="009139E7"/>
    <w:rsid w:val="009149CC"/>
    <w:rsid w:val="00926468"/>
    <w:rsid w:val="00926506"/>
    <w:rsid w:val="00930EB3"/>
    <w:rsid w:val="00931F57"/>
    <w:rsid w:val="00934384"/>
    <w:rsid w:val="00934E16"/>
    <w:rsid w:val="009435B4"/>
    <w:rsid w:val="00944ABE"/>
    <w:rsid w:val="00947785"/>
    <w:rsid w:val="00950D1C"/>
    <w:rsid w:val="009544F5"/>
    <w:rsid w:val="009560E8"/>
    <w:rsid w:val="00957238"/>
    <w:rsid w:val="00961FB6"/>
    <w:rsid w:val="009704D5"/>
    <w:rsid w:val="0097394F"/>
    <w:rsid w:val="00980290"/>
    <w:rsid w:val="00983228"/>
    <w:rsid w:val="0098349C"/>
    <w:rsid w:val="00987F8E"/>
    <w:rsid w:val="009930E4"/>
    <w:rsid w:val="00993D79"/>
    <w:rsid w:val="009960F0"/>
    <w:rsid w:val="00997727"/>
    <w:rsid w:val="009A0346"/>
    <w:rsid w:val="009A1317"/>
    <w:rsid w:val="009A2CB8"/>
    <w:rsid w:val="009A2F8D"/>
    <w:rsid w:val="009B1149"/>
    <w:rsid w:val="009B12D9"/>
    <w:rsid w:val="009B2539"/>
    <w:rsid w:val="009B3D54"/>
    <w:rsid w:val="009B53FC"/>
    <w:rsid w:val="009B55A4"/>
    <w:rsid w:val="009B7E72"/>
    <w:rsid w:val="009C1AA9"/>
    <w:rsid w:val="009C4769"/>
    <w:rsid w:val="009C72D3"/>
    <w:rsid w:val="009D0B10"/>
    <w:rsid w:val="009D0EC5"/>
    <w:rsid w:val="009D23AD"/>
    <w:rsid w:val="009D2FC4"/>
    <w:rsid w:val="009E3277"/>
    <w:rsid w:val="009E4008"/>
    <w:rsid w:val="009E4D22"/>
    <w:rsid w:val="009E4E0D"/>
    <w:rsid w:val="009E6FF1"/>
    <w:rsid w:val="009E73BF"/>
    <w:rsid w:val="009E7F93"/>
    <w:rsid w:val="009F7FCE"/>
    <w:rsid w:val="00A01750"/>
    <w:rsid w:val="00A14646"/>
    <w:rsid w:val="00A220E0"/>
    <w:rsid w:val="00A225EC"/>
    <w:rsid w:val="00A23ABA"/>
    <w:rsid w:val="00A45532"/>
    <w:rsid w:val="00A51374"/>
    <w:rsid w:val="00A56243"/>
    <w:rsid w:val="00A60B9A"/>
    <w:rsid w:val="00A6383F"/>
    <w:rsid w:val="00A64EAA"/>
    <w:rsid w:val="00A65D01"/>
    <w:rsid w:val="00A67CDE"/>
    <w:rsid w:val="00A721A2"/>
    <w:rsid w:val="00A72F00"/>
    <w:rsid w:val="00A74740"/>
    <w:rsid w:val="00A74C90"/>
    <w:rsid w:val="00A751AA"/>
    <w:rsid w:val="00A75233"/>
    <w:rsid w:val="00A76D53"/>
    <w:rsid w:val="00A81F03"/>
    <w:rsid w:val="00A844CE"/>
    <w:rsid w:val="00A87EA1"/>
    <w:rsid w:val="00A94685"/>
    <w:rsid w:val="00A94FBC"/>
    <w:rsid w:val="00AA283D"/>
    <w:rsid w:val="00AA2877"/>
    <w:rsid w:val="00AA3867"/>
    <w:rsid w:val="00AA4247"/>
    <w:rsid w:val="00AA534B"/>
    <w:rsid w:val="00AC49A6"/>
    <w:rsid w:val="00AD20F3"/>
    <w:rsid w:val="00AD720E"/>
    <w:rsid w:val="00AE124B"/>
    <w:rsid w:val="00AE27C2"/>
    <w:rsid w:val="00AE4029"/>
    <w:rsid w:val="00AE714F"/>
    <w:rsid w:val="00AF0EA5"/>
    <w:rsid w:val="00AF3988"/>
    <w:rsid w:val="00AF3D76"/>
    <w:rsid w:val="00AF4FB6"/>
    <w:rsid w:val="00AF566B"/>
    <w:rsid w:val="00B02B40"/>
    <w:rsid w:val="00B03E0F"/>
    <w:rsid w:val="00B04DBE"/>
    <w:rsid w:val="00B0624E"/>
    <w:rsid w:val="00B11D1F"/>
    <w:rsid w:val="00B1374B"/>
    <w:rsid w:val="00B16E94"/>
    <w:rsid w:val="00B23481"/>
    <w:rsid w:val="00B34304"/>
    <w:rsid w:val="00B3661F"/>
    <w:rsid w:val="00B42699"/>
    <w:rsid w:val="00B50FD2"/>
    <w:rsid w:val="00B57C36"/>
    <w:rsid w:val="00B6441D"/>
    <w:rsid w:val="00B71980"/>
    <w:rsid w:val="00B72A0D"/>
    <w:rsid w:val="00B802CA"/>
    <w:rsid w:val="00B83DA5"/>
    <w:rsid w:val="00B8427D"/>
    <w:rsid w:val="00B8473A"/>
    <w:rsid w:val="00B877C6"/>
    <w:rsid w:val="00B9143B"/>
    <w:rsid w:val="00B928A9"/>
    <w:rsid w:val="00B941C8"/>
    <w:rsid w:val="00B9652A"/>
    <w:rsid w:val="00BA082F"/>
    <w:rsid w:val="00BA2C94"/>
    <w:rsid w:val="00BB46EA"/>
    <w:rsid w:val="00BC018F"/>
    <w:rsid w:val="00BD51CA"/>
    <w:rsid w:val="00BE18B4"/>
    <w:rsid w:val="00BE3FEB"/>
    <w:rsid w:val="00BE4E31"/>
    <w:rsid w:val="00BE6774"/>
    <w:rsid w:val="00BE6B47"/>
    <w:rsid w:val="00BF33D2"/>
    <w:rsid w:val="00BF6088"/>
    <w:rsid w:val="00BF726D"/>
    <w:rsid w:val="00BF76F5"/>
    <w:rsid w:val="00C0043B"/>
    <w:rsid w:val="00C041EF"/>
    <w:rsid w:val="00C12415"/>
    <w:rsid w:val="00C124BD"/>
    <w:rsid w:val="00C1517E"/>
    <w:rsid w:val="00C165CA"/>
    <w:rsid w:val="00C277F5"/>
    <w:rsid w:val="00C35E97"/>
    <w:rsid w:val="00C37BF3"/>
    <w:rsid w:val="00C40E12"/>
    <w:rsid w:val="00C426EC"/>
    <w:rsid w:val="00C44F15"/>
    <w:rsid w:val="00C5096A"/>
    <w:rsid w:val="00C51892"/>
    <w:rsid w:val="00C521E6"/>
    <w:rsid w:val="00C6038E"/>
    <w:rsid w:val="00C66F9E"/>
    <w:rsid w:val="00C70F38"/>
    <w:rsid w:val="00C73440"/>
    <w:rsid w:val="00C74A25"/>
    <w:rsid w:val="00C77BAD"/>
    <w:rsid w:val="00C81335"/>
    <w:rsid w:val="00C82451"/>
    <w:rsid w:val="00C912E3"/>
    <w:rsid w:val="00C91FD7"/>
    <w:rsid w:val="00C94721"/>
    <w:rsid w:val="00C9554F"/>
    <w:rsid w:val="00CA336C"/>
    <w:rsid w:val="00CA3696"/>
    <w:rsid w:val="00CA44DA"/>
    <w:rsid w:val="00CB3F56"/>
    <w:rsid w:val="00CB5CD1"/>
    <w:rsid w:val="00CC209A"/>
    <w:rsid w:val="00CC3304"/>
    <w:rsid w:val="00CC7A00"/>
    <w:rsid w:val="00CD5D91"/>
    <w:rsid w:val="00CD6103"/>
    <w:rsid w:val="00CE238D"/>
    <w:rsid w:val="00CE2AB8"/>
    <w:rsid w:val="00CE7EFE"/>
    <w:rsid w:val="00CF2FCE"/>
    <w:rsid w:val="00D00F41"/>
    <w:rsid w:val="00D02459"/>
    <w:rsid w:val="00D027CC"/>
    <w:rsid w:val="00D060AD"/>
    <w:rsid w:val="00D132FE"/>
    <w:rsid w:val="00D1768A"/>
    <w:rsid w:val="00D20CF4"/>
    <w:rsid w:val="00D210DF"/>
    <w:rsid w:val="00D268FD"/>
    <w:rsid w:val="00D3157A"/>
    <w:rsid w:val="00D33559"/>
    <w:rsid w:val="00D35F78"/>
    <w:rsid w:val="00D416D8"/>
    <w:rsid w:val="00D4630E"/>
    <w:rsid w:val="00D51921"/>
    <w:rsid w:val="00D60C0D"/>
    <w:rsid w:val="00D741F3"/>
    <w:rsid w:val="00D76F7B"/>
    <w:rsid w:val="00D82AA9"/>
    <w:rsid w:val="00D8600F"/>
    <w:rsid w:val="00D927F9"/>
    <w:rsid w:val="00DA63E4"/>
    <w:rsid w:val="00DB080D"/>
    <w:rsid w:val="00DB0E4D"/>
    <w:rsid w:val="00DB4E67"/>
    <w:rsid w:val="00DB667C"/>
    <w:rsid w:val="00DC2CA9"/>
    <w:rsid w:val="00DC5E56"/>
    <w:rsid w:val="00DD08CD"/>
    <w:rsid w:val="00DD2308"/>
    <w:rsid w:val="00DD2392"/>
    <w:rsid w:val="00DD4DB1"/>
    <w:rsid w:val="00DD4E95"/>
    <w:rsid w:val="00DE3814"/>
    <w:rsid w:val="00DF0877"/>
    <w:rsid w:val="00DF68AC"/>
    <w:rsid w:val="00DF6DB9"/>
    <w:rsid w:val="00E03A14"/>
    <w:rsid w:val="00E1224F"/>
    <w:rsid w:val="00E153B6"/>
    <w:rsid w:val="00E22A2B"/>
    <w:rsid w:val="00E27D7B"/>
    <w:rsid w:val="00E31516"/>
    <w:rsid w:val="00E37EA7"/>
    <w:rsid w:val="00E43CF0"/>
    <w:rsid w:val="00E445F0"/>
    <w:rsid w:val="00E46276"/>
    <w:rsid w:val="00E463EA"/>
    <w:rsid w:val="00E4715C"/>
    <w:rsid w:val="00E532A4"/>
    <w:rsid w:val="00E57D75"/>
    <w:rsid w:val="00E603C7"/>
    <w:rsid w:val="00E61B7E"/>
    <w:rsid w:val="00E64118"/>
    <w:rsid w:val="00E66FB2"/>
    <w:rsid w:val="00E70E2E"/>
    <w:rsid w:val="00E85443"/>
    <w:rsid w:val="00E95218"/>
    <w:rsid w:val="00E9605F"/>
    <w:rsid w:val="00E9734E"/>
    <w:rsid w:val="00E97F68"/>
    <w:rsid w:val="00EA06E8"/>
    <w:rsid w:val="00EC047E"/>
    <w:rsid w:val="00EC68A4"/>
    <w:rsid w:val="00ED0F26"/>
    <w:rsid w:val="00ED0FA9"/>
    <w:rsid w:val="00ED2041"/>
    <w:rsid w:val="00ED3DFB"/>
    <w:rsid w:val="00EE075B"/>
    <w:rsid w:val="00EE2692"/>
    <w:rsid w:val="00EE7538"/>
    <w:rsid w:val="00EF0239"/>
    <w:rsid w:val="00EF5445"/>
    <w:rsid w:val="00F048B1"/>
    <w:rsid w:val="00F0728A"/>
    <w:rsid w:val="00F0759B"/>
    <w:rsid w:val="00F16D55"/>
    <w:rsid w:val="00F20553"/>
    <w:rsid w:val="00F270AB"/>
    <w:rsid w:val="00F321B4"/>
    <w:rsid w:val="00F43E16"/>
    <w:rsid w:val="00F4764D"/>
    <w:rsid w:val="00F501B5"/>
    <w:rsid w:val="00F514DC"/>
    <w:rsid w:val="00F554A3"/>
    <w:rsid w:val="00F5607E"/>
    <w:rsid w:val="00F607EB"/>
    <w:rsid w:val="00F61425"/>
    <w:rsid w:val="00F67FA3"/>
    <w:rsid w:val="00F71F04"/>
    <w:rsid w:val="00F72D98"/>
    <w:rsid w:val="00F73DD3"/>
    <w:rsid w:val="00F82D0B"/>
    <w:rsid w:val="00F86A90"/>
    <w:rsid w:val="00F940A4"/>
    <w:rsid w:val="00FA4CEC"/>
    <w:rsid w:val="00FC35FE"/>
    <w:rsid w:val="00FC41C8"/>
    <w:rsid w:val="00FC52B1"/>
    <w:rsid w:val="00FD3CCF"/>
    <w:rsid w:val="00FD7A94"/>
    <w:rsid w:val="00FD7C31"/>
    <w:rsid w:val="00FE3526"/>
    <w:rsid w:val="00FF1DD8"/>
    <w:rsid w:val="00FF1F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5A373E3-87D1-4A1B-A019-39F9E247F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E97"/>
    <w:pPr>
      <w:overflowPunct w:val="0"/>
      <w:autoSpaceDE w:val="0"/>
      <w:autoSpaceDN w:val="0"/>
      <w:adjustRightInd w:val="0"/>
      <w:ind w:firstLine="227"/>
      <w:jc w:val="both"/>
      <w:textAlignment w:val="baseline"/>
    </w:p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styleId="NormalWeb">
    <w:name w:val="Normal (Web)"/>
    <w:basedOn w:val="Normal"/>
    <w:uiPriority w:val="99"/>
    <w:unhideWhenUsed/>
    <w:rsid w:val="004D254C"/>
    <w:pPr>
      <w:overflowPunct/>
      <w:autoSpaceDE/>
      <w:autoSpaceDN/>
      <w:adjustRightInd/>
      <w:spacing w:before="100" w:beforeAutospacing="1" w:after="100" w:afterAutospacing="1" w:line="240" w:lineRule="auto"/>
      <w:ind w:firstLine="0"/>
      <w:jc w:val="left"/>
      <w:textAlignment w:val="auto"/>
    </w:pPr>
    <w:rPr>
      <w:sz w:val="24"/>
      <w:szCs w:val="24"/>
      <w:lang w:val="en-GB" w:eastAsia="en-GB"/>
    </w:rPr>
  </w:style>
  <w:style w:type="paragraph" w:styleId="ListParagraph">
    <w:name w:val="List Paragraph"/>
    <w:basedOn w:val="Normal"/>
    <w:rsid w:val="00282E3A"/>
    <w:pPr>
      <w:ind w:left="720"/>
      <w:contextualSpacing/>
    </w:pPr>
  </w:style>
  <w:style w:type="character" w:customStyle="1" w:styleId="UnresolvedMention">
    <w:name w:val="Unresolved Mention"/>
    <w:basedOn w:val="DefaultParagraphFont"/>
    <w:uiPriority w:val="99"/>
    <w:semiHidden/>
    <w:unhideWhenUsed/>
    <w:rsid w:val="00E61B7E"/>
    <w:rPr>
      <w:color w:val="605E5C"/>
      <w:shd w:val="clear" w:color="auto" w:fill="E1DFDD"/>
    </w:rPr>
  </w:style>
  <w:style w:type="paragraph" w:styleId="Caption">
    <w:name w:val="caption"/>
    <w:basedOn w:val="Normal"/>
    <w:next w:val="Normal"/>
    <w:unhideWhenUsed/>
    <w:rsid w:val="00267A3A"/>
    <w:pPr>
      <w:spacing w:after="200" w:line="240" w:lineRule="auto"/>
    </w:pPr>
    <w:rPr>
      <w:i/>
      <w:iCs/>
      <w:color w:val="1F497D" w:themeColor="text2"/>
      <w:sz w:val="18"/>
      <w:szCs w:val="18"/>
    </w:rPr>
  </w:style>
  <w:style w:type="character" w:customStyle="1" w:styleId="xref">
    <w:name w:val="xref"/>
    <w:basedOn w:val="DefaultParagraphFont"/>
    <w:rsid w:val="00EC68A4"/>
  </w:style>
  <w:style w:type="paragraph" w:styleId="BalloonText">
    <w:name w:val="Balloon Text"/>
    <w:basedOn w:val="Normal"/>
    <w:link w:val="BalloonTextChar"/>
    <w:semiHidden/>
    <w:unhideWhenUsed/>
    <w:rsid w:val="001A4D7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A4D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4957">
      <w:bodyDiv w:val="1"/>
      <w:marLeft w:val="0"/>
      <w:marRight w:val="0"/>
      <w:marTop w:val="0"/>
      <w:marBottom w:val="0"/>
      <w:divBdr>
        <w:top w:val="none" w:sz="0" w:space="0" w:color="auto"/>
        <w:left w:val="none" w:sz="0" w:space="0" w:color="auto"/>
        <w:bottom w:val="none" w:sz="0" w:space="0" w:color="auto"/>
        <w:right w:val="none" w:sz="0" w:space="0" w:color="auto"/>
      </w:divBdr>
    </w:div>
    <w:div w:id="162861658">
      <w:bodyDiv w:val="1"/>
      <w:marLeft w:val="0"/>
      <w:marRight w:val="0"/>
      <w:marTop w:val="0"/>
      <w:marBottom w:val="0"/>
      <w:divBdr>
        <w:top w:val="none" w:sz="0" w:space="0" w:color="auto"/>
        <w:left w:val="none" w:sz="0" w:space="0" w:color="auto"/>
        <w:bottom w:val="none" w:sz="0" w:space="0" w:color="auto"/>
        <w:right w:val="none" w:sz="0" w:space="0" w:color="auto"/>
      </w:divBdr>
      <w:divsChild>
        <w:div w:id="602879787">
          <w:marLeft w:val="0"/>
          <w:marRight w:val="0"/>
          <w:marTop w:val="0"/>
          <w:marBottom w:val="0"/>
          <w:divBdr>
            <w:top w:val="none" w:sz="0" w:space="0" w:color="auto"/>
            <w:left w:val="none" w:sz="0" w:space="0" w:color="auto"/>
            <w:bottom w:val="none" w:sz="0" w:space="0" w:color="auto"/>
            <w:right w:val="none" w:sz="0" w:space="0" w:color="auto"/>
          </w:divBdr>
        </w:div>
        <w:div w:id="174810451">
          <w:marLeft w:val="0"/>
          <w:marRight w:val="0"/>
          <w:marTop w:val="0"/>
          <w:marBottom w:val="0"/>
          <w:divBdr>
            <w:top w:val="none" w:sz="0" w:space="0" w:color="auto"/>
            <w:left w:val="none" w:sz="0" w:space="0" w:color="auto"/>
            <w:bottom w:val="none" w:sz="0" w:space="0" w:color="auto"/>
            <w:right w:val="none" w:sz="0" w:space="0" w:color="auto"/>
          </w:divBdr>
        </w:div>
        <w:div w:id="897596160">
          <w:marLeft w:val="0"/>
          <w:marRight w:val="0"/>
          <w:marTop w:val="0"/>
          <w:marBottom w:val="0"/>
          <w:divBdr>
            <w:top w:val="none" w:sz="0" w:space="0" w:color="auto"/>
            <w:left w:val="none" w:sz="0" w:space="0" w:color="auto"/>
            <w:bottom w:val="none" w:sz="0" w:space="0" w:color="auto"/>
            <w:right w:val="none" w:sz="0" w:space="0" w:color="auto"/>
          </w:divBdr>
        </w:div>
      </w:divsChild>
    </w:div>
    <w:div w:id="423040389">
      <w:bodyDiv w:val="1"/>
      <w:marLeft w:val="0"/>
      <w:marRight w:val="0"/>
      <w:marTop w:val="0"/>
      <w:marBottom w:val="0"/>
      <w:divBdr>
        <w:top w:val="none" w:sz="0" w:space="0" w:color="auto"/>
        <w:left w:val="none" w:sz="0" w:space="0" w:color="auto"/>
        <w:bottom w:val="none" w:sz="0" w:space="0" w:color="auto"/>
        <w:right w:val="none" w:sz="0" w:space="0" w:color="auto"/>
      </w:divBdr>
    </w:div>
    <w:div w:id="515115631">
      <w:bodyDiv w:val="1"/>
      <w:marLeft w:val="0"/>
      <w:marRight w:val="0"/>
      <w:marTop w:val="0"/>
      <w:marBottom w:val="0"/>
      <w:divBdr>
        <w:top w:val="none" w:sz="0" w:space="0" w:color="auto"/>
        <w:left w:val="none" w:sz="0" w:space="0" w:color="auto"/>
        <w:bottom w:val="none" w:sz="0" w:space="0" w:color="auto"/>
        <w:right w:val="none" w:sz="0" w:space="0" w:color="auto"/>
      </w:divBdr>
      <w:divsChild>
        <w:div w:id="1000892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9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7764">
      <w:bodyDiv w:val="1"/>
      <w:marLeft w:val="0"/>
      <w:marRight w:val="0"/>
      <w:marTop w:val="0"/>
      <w:marBottom w:val="0"/>
      <w:divBdr>
        <w:top w:val="none" w:sz="0" w:space="0" w:color="auto"/>
        <w:left w:val="none" w:sz="0" w:space="0" w:color="auto"/>
        <w:bottom w:val="none" w:sz="0" w:space="0" w:color="auto"/>
        <w:right w:val="none" w:sz="0" w:space="0" w:color="auto"/>
      </w:divBdr>
      <w:divsChild>
        <w:div w:id="875393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0702">
      <w:bodyDiv w:val="1"/>
      <w:marLeft w:val="0"/>
      <w:marRight w:val="0"/>
      <w:marTop w:val="0"/>
      <w:marBottom w:val="0"/>
      <w:divBdr>
        <w:top w:val="none" w:sz="0" w:space="0" w:color="auto"/>
        <w:left w:val="none" w:sz="0" w:space="0" w:color="auto"/>
        <w:bottom w:val="none" w:sz="0" w:space="0" w:color="auto"/>
        <w:right w:val="none" w:sz="0" w:space="0" w:color="auto"/>
      </w:divBdr>
      <w:divsChild>
        <w:div w:id="2143039805">
          <w:marLeft w:val="0"/>
          <w:marRight w:val="0"/>
          <w:marTop w:val="0"/>
          <w:marBottom w:val="0"/>
          <w:divBdr>
            <w:top w:val="none" w:sz="0" w:space="0" w:color="auto"/>
            <w:left w:val="none" w:sz="0" w:space="0" w:color="auto"/>
            <w:bottom w:val="none" w:sz="0" w:space="0" w:color="auto"/>
            <w:right w:val="none" w:sz="0" w:space="0" w:color="auto"/>
          </w:divBdr>
        </w:div>
        <w:div w:id="247347428">
          <w:marLeft w:val="0"/>
          <w:marRight w:val="0"/>
          <w:marTop w:val="0"/>
          <w:marBottom w:val="0"/>
          <w:divBdr>
            <w:top w:val="none" w:sz="0" w:space="0" w:color="auto"/>
            <w:left w:val="none" w:sz="0" w:space="0" w:color="auto"/>
            <w:bottom w:val="none" w:sz="0" w:space="0" w:color="auto"/>
            <w:right w:val="none" w:sz="0" w:space="0" w:color="auto"/>
          </w:divBdr>
        </w:div>
        <w:div w:id="662974148">
          <w:marLeft w:val="0"/>
          <w:marRight w:val="0"/>
          <w:marTop w:val="0"/>
          <w:marBottom w:val="0"/>
          <w:divBdr>
            <w:top w:val="none" w:sz="0" w:space="0" w:color="auto"/>
            <w:left w:val="none" w:sz="0" w:space="0" w:color="auto"/>
            <w:bottom w:val="none" w:sz="0" w:space="0" w:color="auto"/>
            <w:right w:val="none" w:sz="0" w:space="0" w:color="auto"/>
          </w:divBdr>
        </w:div>
      </w:divsChild>
    </w:div>
    <w:div w:id="634604769">
      <w:bodyDiv w:val="1"/>
      <w:marLeft w:val="0"/>
      <w:marRight w:val="0"/>
      <w:marTop w:val="0"/>
      <w:marBottom w:val="0"/>
      <w:divBdr>
        <w:top w:val="none" w:sz="0" w:space="0" w:color="auto"/>
        <w:left w:val="none" w:sz="0" w:space="0" w:color="auto"/>
        <w:bottom w:val="none" w:sz="0" w:space="0" w:color="auto"/>
        <w:right w:val="none" w:sz="0" w:space="0" w:color="auto"/>
      </w:divBdr>
      <w:divsChild>
        <w:div w:id="1353915285">
          <w:marLeft w:val="0"/>
          <w:marRight w:val="0"/>
          <w:marTop w:val="0"/>
          <w:marBottom w:val="0"/>
          <w:divBdr>
            <w:top w:val="none" w:sz="0" w:space="0" w:color="auto"/>
            <w:left w:val="none" w:sz="0" w:space="0" w:color="auto"/>
            <w:bottom w:val="none" w:sz="0" w:space="0" w:color="auto"/>
            <w:right w:val="none" w:sz="0" w:space="0" w:color="auto"/>
          </w:divBdr>
          <w:divsChild>
            <w:div w:id="49890928">
              <w:marLeft w:val="0"/>
              <w:marRight w:val="0"/>
              <w:marTop w:val="0"/>
              <w:marBottom w:val="0"/>
              <w:divBdr>
                <w:top w:val="none" w:sz="0" w:space="0" w:color="auto"/>
                <w:left w:val="none" w:sz="0" w:space="0" w:color="auto"/>
                <w:bottom w:val="none" w:sz="0" w:space="0" w:color="auto"/>
                <w:right w:val="none" w:sz="0" w:space="0" w:color="auto"/>
              </w:divBdr>
              <w:divsChild>
                <w:div w:id="4817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9115">
      <w:bodyDiv w:val="1"/>
      <w:marLeft w:val="0"/>
      <w:marRight w:val="0"/>
      <w:marTop w:val="0"/>
      <w:marBottom w:val="0"/>
      <w:divBdr>
        <w:top w:val="none" w:sz="0" w:space="0" w:color="auto"/>
        <w:left w:val="none" w:sz="0" w:space="0" w:color="auto"/>
        <w:bottom w:val="none" w:sz="0" w:space="0" w:color="auto"/>
        <w:right w:val="none" w:sz="0" w:space="0" w:color="auto"/>
      </w:divBdr>
    </w:div>
    <w:div w:id="856895324">
      <w:bodyDiv w:val="1"/>
      <w:marLeft w:val="0"/>
      <w:marRight w:val="0"/>
      <w:marTop w:val="0"/>
      <w:marBottom w:val="0"/>
      <w:divBdr>
        <w:top w:val="none" w:sz="0" w:space="0" w:color="auto"/>
        <w:left w:val="none" w:sz="0" w:space="0" w:color="auto"/>
        <w:bottom w:val="none" w:sz="0" w:space="0" w:color="auto"/>
        <w:right w:val="none" w:sz="0" w:space="0" w:color="auto"/>
      </w:divBdr>
      <w:divsChild>
        <w:div w:id="1843928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378">
      <w:bodyDiv w:val="1"/>
      <w:marLeft w:val="0"/>
      <w:marRight w:val="0"/>
      <w:marTop w:val="0"/>
      <w:marBottom w:val="0"/>
      <w:divBdr>
        <w:top w:val="none" w:sz="0" w:space="0" w:color="auto"/>
        <w:left w:val="none" w:sz="0" w:space="0" w:color="auto"/>
        <w:bottom w:val="none" w:sz="0" w:space="0" w:color="auto"/>
        <w:right w:val="none" w:sz="0" w:space="0" w:color="auto"/>
      </w:divBdr>
      <w:divsChild>
        <w:div w:id="419954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2072">
      <w:bodyDiv w:val="1"/>
      <w:marLeft w:val="0"/>
      <w:marRight w:val="0"/>
      <w:marTop w:val="0"/>
      <w:marBottom w:val="0"/>
      <w:divBdr>
        <w:top w:val="none" w:sz="0" w:space="0" w:color="auto"/>
        <w:left w:val="none" w:sz="0" w:space="0" w:color="auto"/>
        <w:bottom w:val="none" w:sz="0" w:space="0" w:color="auto"/>
        <w:right w:val="none" w:sz="0" w:space="0" w:color="auto"/>
      </w:divBdr>
      <w:divsChild>
        <w:div w:id="1608197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2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7749">
      <w:bodyDiv w:val="1"/>
      <w:marLeft w:val="0"/>
      <w:marRight w:val="0"/>
      <w:marTop w:val="0"/>
      <w:marBottom w:val="0"/>
      <w:divBdr>
        <w:top w:val="none" w:sz="0" w:space="0" w:color="auto"/>
        <w:left w:val="none" w:sz="0" w:space="0" w:color="auto"/>
        <w:bottom w:val="none" w:sz="0" w:space="0" w:color="auto"/>
        <w:right w:val="none" w:sz="0" w:space="0" w:color="auto"/>
      </w:divBdr>
    </w:div>
    <w:div w:id="1411661700">
      <w:bodyDiv w:val="1"/>
      <w:marLeft w:val="0"/>
      <w:marRight w:val="0"/>
      <w:marTop w:val="0"/>
      <w:marBottom w:val="0"/>
      <w:divBdr>
        <w:top w:val="none" w:sz="0" w:space="0" w:color="auto"/>
        <w:left w:val="none" w:sz="0" w:space="0" w:color="auto"/>
        <w:bottom w:val="none" w:sz="0" w:space="0" w:color="auto"/>
        <w:right w:val="none" w:sz="0" w:space="0" w:color="auto"/>
      </w:divBdr>
    </w:div>
    <w:div w:id="1480269562">
      <w:bodyDiv w:val="1"/>
      <w:marLeft w:val="0"/>
      <w:marRight w:val="0"/>
      <w:marTop w:val="0"/>
      <w:marBottom w:val="0"/>
      <w:divBdr>
        <w:top w:val="none" w:sz="0" w:space="0" w:color="auto"/>
        <w:left w:val="none" w:sz="0" w:space="0" w:color="auto"/>
        <w:bottom w:val="none" w:sz="0" w:space="0" w:color="auto"/>
        <w:right w:val="none" w:sz="0" w:space="0" w:color="auto"/>
      </w:divBdr>
      <w:divsChild>
        <w:div w:id="1106731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9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58720">
      <w:bodyDiv w:val="1"/>
      <w:marLeft w:val="0"/>
      <w:marRight w:val="0"/>
      <w:marTop w:val="0"/>
      <w:marBottom w:val="0"/>
      <w:divBdr>
        <w:top w:val="none" w:sz="0" w:space="0" w:color="auto"/>
        <w:left w:val="none" w:sz="0" w:space="0" w:color="auto"/>
        <w:bottom w:val="none" w:sz="0" w:space="0" w:color="auto"/>
        <w:right w:val="none" w:sz="0" w:space="0" w:color="auto"/>
      </w:divBdr>
      <w:divsChild>
        <w:div w:id="1451821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0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7910">
      <w:bodyDiv w:val="1"/>
      <w:marLeft w:val="0"/>
      <w:marRight w:val="0"/>
      <w:marTop w:val="0"/>
      <w:marBottom w:val="0"/>
      <w:divBdr>
        <w:top w:val="none" w:sz="0" w:space="0" w:color="auto"/>
        <w:left w:val="none" w:sz="0" w:space="0" w:color="auto"/>
        <w:bottom w:val="none" w:sz="0" w:space="0" w:color="auto"/>
        <w:right w:val="none" w:sz="0" w:space="0" w:color="auto"/>
      </w:divBdr>
    </w:div>
    <w:div w:id="1776091563">
      <w:bodyDiv w:val="1"/>
      <w:marLeft w:val="0"/>
      <w:marRight w:val="0"/>
      <w:marTop w:val="0"/>
      <w:marBottom w:val="0"/>
      <w:divBdr>
        <w:top w:val="none" w:sz="0" w:space="0" w:color="auto"/>
        <w:left w:val="none" w:sz="0" w:space="0" w:color="auto"/>
        <w:bottom w:val="none" w:sz="0" w:space="0" w:color="auto"/>
        <w:right w:val="none" w:sz="0" w:space="0" w:color="auto"/>
      </w:divBdr>
    </w:div>
    <w:div w:id="2003582695">
      <w:bodyDiv w:val="1"/>
      <w:marLeft w:val="0"/>
      <w:marRight w:val="0"/>
      <w:marTop w:val="0"/>
      <w:marBottom w:val="0"/>
      <w:divBdr>
        <w:top w:val="none" w:sz="0" w:space="0" w:color="auto"/>
        <w:left w:val="none" w:sz="0" w:space="0" w:color="auto"/>
        <w:bottom w:val="none" w:sz="0" w:space="0" w:color="auto"/>
        <w:right w:val="none" w:sz="0" w:space="0" w:color="auto"/>
      </w:divBdr>
    </w:div>
    <w:div w:id="2119368948">
      <w:bodyDiv w:val="1"/>
      <w:marLeft w:val="0"/>
      <w:marRight w:val="0"/>
      <w:marTop w:val="0"/>
      <w:marBottom w:val="0"/>
      <w:divBdr>
        <w:top w:val="none" w:sz="0" w:space="0" w:color="auto"/>
        <w:left w:val="none" w:sz="0" w:space="0" w:color="auto"/>
        <w:bottom w:val="none" w:sz="0" w:space="0" w:color="auto"/>
        <w:right w:val="none" w:sz="0" w:space="0" w:color="auto"/>
      </w:divBdr>
      <w:divsChild>
        <w:div w:id="1270354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3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mailto:deborah.john@nationaltransport.ie" TargetMode="External"/><Relationship Id="rId14"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17AA06996074690277143DF62B155" ma:contentTypeVersion="13" ma:contentTypeDescription="Create a new document." ma:contentTypeScope="" ma:versionID="19f6d395ca1fa1de1ea130e5f1965b7a">
  <xsd:schema xmlns:xsd="http://www.w3.org/2001/XMLSchema" xmlns:xs="http://www.w3.org/2001/XMLSchema" xmlns:p="http://schemas.microsoft.com/office/2006/metadata/properties" xmlns:ns2="813522ec-5194-47e3-9786-143f249d2e26" xmlns:ns3="66ba001b-06ac-48fd-bcf0-55b17e177a34" targetNamespace="http://schemas.microsoft.com/office/2006/metadata/properties" ma:root="true" ma:fieldsID="2a834f539480c08d4d249bd47915e627" ns2:_="" ns3:_="">
    <xsd:import namespace="813522ec-5194-47e3-9786-143f249d2e26"/>
    <xsd:import namespace="66ba001b-06ac-48fd-bcf0-55b17e177a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522ec-5194-47e3-9786-143f249d2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a001b-06ac-48fd-bcf0-55b17e177a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bd22621-3f14-4696-ae58-bbda47b1ea78}" ma:internalName="TaxCatchAll" ma:showField="CatchAllData" ma:web="66ba001b-06ac-48fd-bcf0-55b17e177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ba001b-06ac-48fd-bcf0-55b17e177a34" xsi:nil="true"/>
    <lcf76f155ced4ddcb4097134ff3c332f xmlns="813522ec-5194-47e3-9786-143f249d2e2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F968B7-1726-45D0-B322-CCC63F0D5D7E}"/>
</file>

<file path=customXml/itemProps2.xml><?xml version="1.0" encoding="utf-8"?>
<ds:datastoreItem xmlns:ds="http://schemas.openxmlformats.org/officeDocument/2006/customXml" ds:itemID="{3098366F-0B84-4C48-A57B-9A43ADA7C2F6}">
  <ds:schemaRefs>
    <ds:schemaRef ds:uri="http://schemas.microsoft.com/sharepoint/v3/contenttype/forms"/>
  </ds:schemaRefs>
</ds:datastoreItem>
</file>

<file path=customXml/itemProps3.xml><?xml version="1.0" encoding="utf-8"?>
<ds:datastoreItem xmlns:ds="http://schemas.openxmlformats.org/officeDocument/2006/customXml" ds:itemID="{3AE88B82-C270-4332-B4A1-01537769CC40}"/>
</file>

<file path=docProps/app.xml><?xml version="1.0" encoding="utf-8"?>
<Properties xmlns="http://schemas.openxmlformats.org/officeDocument/2006/extended-properties" xmlns:vt="http://schemas.openxmlformats.org/officeDocument/2006/docPropsVTypes">
  <Template>Normal</Template>
  <TotalTime>2409</TotalTime>
  <Pages>6</Pages>
  <Words>1815</Words>
  <Characters>9830</Characters>
  <Application>Microsoft Office Word</Application>
  <DocSecurity>0</DocSecurity>
  <Lines>81</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Deborah John</cp:lastModifiedBy>
  <cp:revision>602</cp:revision>
  <dcterms:created xsi:type="dcterms:W3CDTF">2023-09-19T08:13:00Z</dcterms:created>
  <dcterms:modified xsi:type="dcterms:W3CDTF">2023-10-10T11:25:00Z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0x0101001CC17AA06996074690277143DF62B155</vt:lpwstr>
  </property>
</Properties>
</file>