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2D98CAE4" w:rsidR="00F24B7E" w:rsidRPr="00D75834" w:rsidRDefault="009D6ECC" w:rsidP="00D75834">
      <w:pPr>
        <w:spacing w:line="360" w:lineRule="auto"/>
        <w:ind w:left="-720" w:right="-32"/>
        <w:jc w:val="center"/>
        <w:rPr>
          <w:rFonts w:ascii="Calibri" w:hAnsi="Calibri"/>
          <w:b/>
          <w:color w:val="000000" w:themeColor="text1"/>
          <w:sz w:val="36"/>
          <w:lang w:val="en-IE"/>
        </w:rPr>
      </w:pPr>
      <w:r w:rsidRPr="009D6ECC">
        <w:rPr>
          <w:rFonts w:ascii="Calibri" w:hAnsi="Calibri"/>
          <w:b/>
          <w:color w:val="000000" w:themeColor="text1"/>
          <w:sz w:val="36"/>
          <w:lang w:val="en-IE"/>
        </w:rPr>
        <w:t>Senior Customer Experience Officer (HEO)</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0E4A20B8" w:rsidR="00AB0218" w:rsidRPr="000F2327" w:rsidRDefault="00AB0218" w:rsidP="006B20D8">
      <w:pPr>
        <w:spacing w:line="360" w:lineRule="auto"/>
        <w:ind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3F1E66B6"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9D6ECC" w:rsidRPr="009D6ECC">
              <w:rPr>
                <w:rFonts w:ascii="Calibri" w:hAnsi="Calibri" w:cs="Arial"/>
                <w:color w:val="000000" w:themeColor="text1"/>
                <w:sz w:val="22"/>
                <w:szCs w:val="22"/>
              </w:rPr>
              <w:t>Senior Customer Experience Officer</w:t>
            </w:r>
            <w:r w:rsidR="009D6ECC" w:rsidRPr="009D6ECC">
              <w:rPr>
                <w:rFonts w:ascii="Calibri" w:hAnsi="Calibri" w:cs="Arial"/>
                <w:b/>
                <w:bCs/>
                <w:color w:val="000000" w:themeColor="text1"/>
                <w:sz w:val="22"/>
                <w:szCs w:val="22"/>
              </w:rPr>
              <w:t xml:space="preserve"> </w:t>
            </w:r>
          </w:p>
          <w:p w14:paraId="55A974E1" w14:textId="16CC27B6"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9D6ECC">
              <w:rPr>
                <w:rFonts w:ascii="Calibri" w:hAnsi="Calibri" w:cs="Arial"/>
                <w:b/>
                <w:bCs/>
                <w:color w:val="000000" w:themeColor="text1"/>
                <w:sz w:val="22"/>
                <w:szCs w:val="22"/>
              </w:rPr>
              <w:t xml:space="preserve"> </w:t>
            </w:r>
            <w:r w:rsidR="009D6ECC" w:rsidRPr="009D6ECC">
              <w:rPr>
                <w:rFonts w:ascii="Calibri" w:hAnsi="Calibri" w:cs="Arial"/>
                <w:bCs/>
                <w:color w:val="000000" w:themeColor="text1"/>
                <w:sz w:val="22"/>
                <w:szCs w:val="22"/>
              </w:rPr>
              <w:t>Higher Executive Officer</w:t>
            </w:r>
            <w:r w:rsidR="009D6ECC">
              <w:rPr>
                <w:rFonts w:ascii="Calibri" w:hAnsi="Calibri" w:cs="Arial"/>
                <w:bCs/>
                <w:color w:val="000000" w:themeColor="text1"/>
                <w:sz w:val="22"/>
                <w:szCs w:val="22"/>
              </w:rPr>
              <w:t xml:space="preserve"> </w:t>
            </w:r>
          </w:p>
          <w:p w14:paraId="60F5C90F" w14:textId="24659ED7" w:rsidR="00F24B7E" w:rsidRPr="000F2327" w:rsidRDefault="0080272F" w:rsidP="00A02EDC">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9D6ECC" w:rsidRPr="009D6ECC">
              <w:rPr>
                <w:rFonts w:ascii="Calibri" w:hAnsi="Calibri" w:cs="Calibri"/>
                <w:color w:val="000000"/>
                <w:sz w:val="22"/>
                <w:szCs w:val="22"/>
              </w:rPr>
              <w:t>Public Transport Services</w:t>
            </w:r>
          </w:p>
          <w:p w14:paraId="502F1ED0" w14:textId="2C63E195"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9D6ECC">
              <w:rPr>
                <w:rFonts w:ascii="Calibri" w:hAnsi="Calibri" w:cs="Arial"/>
                <w:color w:val="000000" w:themeColor="text1"/>
                <w:sz w:val="22"/>
                <w:szCs w:val="22"/>
              </w:rPr>
              <w:t xml:space="preserve">Head of Customer Experience </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413E6ED9"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F24B7E" w:rsidRPr="009D6ECC">
              <w:rPr>
                <w:rFonts w:asciiTheme="minorHAnsi" w:eastAsiaTheme="minorHAnsi" w:hAnsiTheme="minorHAnsi" w:cstheme="minorBidi"/>
                <w:color w:val="000000" w:themeColor="text1"/>
                <w:sz w:val="22"/>
                <w:szCs w:val="22"/>
                <w:lang w:val="en-IE" w:eastAsia="en-US"/>
              </w:rPr>
              <w:t>€</w:t>
            </w:r>
            <w:r w:rsidR="006B20D8">
              <w:rPr>
                <w:rFonts w:asciiTheme="minorHAnsi" w:eastAsiaTheme="minorHAnsi" w:hAnsiTheme="minorHAnsi" w:cstheme="minorBidi"/>
                <w:color w:val="000000" w:themeColor="text1"/>
                <w:sz w:val="22"/>
                <w:szCs w:val="22"/>
                <w:lang w:val="en-IE" w:eastAsia="en-US"/>
              </w:rPr>
              <w:t>55</w:t>
            </w:r>
            <w:r w:rsidR="009D6ECC" w:rsidRPr="009D6ECC">
              <w:rPr>
                <w:rFonts w:asciiTheme="minorHAnsi" w:eastAsiaTheme="minorHAnsi" w:hAnsiTheme="minorHAnsi" w:cstheme="minorBidi"/>
                <w:color w:val="000000" w:themeColor="text1"/>
                <w:sz w:val="22"/>
                <w:szCs w:val="22"/>
                <w:lang w:val="en-IE" w:eastAsia="en-US"/>
              </w:rPr>
              <w:t>,996</w:t>
            </w:r>
          </w:p>
          <w:p w14:paraId="3CD6D477" w14:textId="77777777" w:rsidR="00F24B7E" w:rsidRPr="00D75834"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6321B54B"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12pm (noon) on </w:t>
            </w:r>
            <w:r w:rsidR="009D6ECC" w:rsidRPr="00EE34D0">
              <w:rPr>
                <w:rFonts w:ascii="Calibri" w:hAnsi="Calibri"/>
                <w:b/>
                <w:spacing w:val="-2"/>
                <w:sz w:val="22"/>
                <w:szCs w:val="22"/>
              </w:rPr>
              <w:t xml:space="preserve">Friday, </w:t>
            </w:r>
            <w:r w:rsidR="009D6ECC">
              <w:rPr>
                <w:rFonts w:ascii="Calibri" w:hAnsi="Calibri"/>
                <w:b/>
                <w:spacing w:val="-2"/>
                <w:sz w:val="22"/>
                <w:szCs w:val="22"/>
              </w:rPr>
              <w:t>17</w:t>
            </w:r>
            <w:r w:rsidR="009D6ECC" w:rsidRPr="00AE3011">
              <w:rPr>
                <w:rFonts w:ascii="Calibri" w:hAnsi="Calibri"/>
                <w:b/>
                <w:spacing w:val="-2"/>
                <w:sz w:val="22"/>
                <w:szCs w:val="22"/>
                <w:vertAlign w:val="superscript"/>
              </w:rPr>
              <w:t>th</w:t>
            </w:r>
            <w:r w:rsidR="009D6ECC">
              <w:rPr>
                <w:rFonts w:ascii="Calibri" w:hAnsi="Calibri"/>
                <w:b/>
                <w:spacing w:val="-2"/>
                <w:sz w:val="22"/>
                <w:szCs w:val="22"/>
              </w:rPr>
              <w:t xml:space="preserve"> May 2024</w:t>
            </w:r>
          </w:p>
          <w:p w14:paraId="23C9B6FE" w14:textId="75CB7DD1" w:rsidR="00140DC9" w:rsidRDefault="000F2327" w:rsidP="009D6ECC">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bookmarkStart w:id="0" w:name="_Hlk145932340"/>
            <w:r w:rsidR="006B20D8" w:rsidRPr="006B20D8">
              <w:rPr>
                <w:rFonts w:ascii="Calibri" w:hAnsi="Calibri"/>
                <w:b/>
                <w:spacing w:val="-2"/>
                <w:sz w:val="22"/>
                <w:szCs w:val="22"/>
              </w:rPr>
              <w:t>ntacareers@rsmireland.ie</w:t>
            </w:r>
            <w:bookmarkEnd w:id="0"/>
          </w:p>
          <w:p w14:paraId="457F898C" w14:textId="51758059" w:rsidR="006B20D8" w:rsidRPr="000F2327" w:rsidRDefault="006B20D8" w:rsidP="009D6ECC">
            <w:pPr>
              <w:spacing w:line="360" w:lineRule="auto"/>
              <w:ind w:right="-32"/>
              <w:jc w:val="center"/>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2EDD2EEC" w:rsidR="00AB0218" w:rsidRDefault="00AB0218" w:rsidP="00E6233C">
      <w:pPr>
        <w:suppressAutoHyphens/>
        <w:spacing w:line="360" w:lineRule="auto"/>
        <w:ind w:right="-32"/>
        <w:rPr>
          <w:rFonts w:ascii="Calibri" w:hAnsi="Calibri"/>
          <w:color w:val="000000" w:themeColor="text1"/>
          <w:spacing w:val="-2"/>
          <w:lang w:val="en-IE"/>
        </w:rPr>
      </w:pPr>
    </w:p>
    <w:p w14:paraId="765DEC12" w14:textId="77777777" w:rsidR="006B20D8" w:rsidRPr="000F2327" w:rsidRDefault="006B20D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2CD40027" w14:textId="77777777" w:rsidR="00B72EB2" w:rsidRPr="000F2327" w:rsidRDefault="00B72EB2" w:rsidP="00E6233C">
      <w:pPr>
        <w:suppressAutoHyphens/>
        <w:spacing w:line="360" w:lineRule="auto"/>
        <w:ind w:right="-32"/>
        <w:rPr>
          <w:rFonts w:ascii="Calibri" w:hAnsi="Calibri"/>
          <w:color w:val="000000" w:themeColor="text1"/>
          <w:spacing w:val="-2"/>
          <w:lang w:val="en-IE"/>
        </w:rPr>
      </w:pPr>
    </w:p>
    <w:p w14:paraId="5C16A232" w14:textId="7777777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lastRenderedPageBreak/>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bookmarkStart w:id="1" w:name="_GoBack"/>
      <w:bookmarkEnd w:id="1"/>
    </w:p>
    <w:p w14:paraId="40F76B61" w14:textId="77777777" w:rsidR="006B20D8" w:rsidRDefault="006B20D8" w:rsidP="006B20D8">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6B20D8" w:rsidRDefault="00D937D2" w:rsidP="006B20D8">
      <w:pPr>
        <w:pStyle w:val="BodyText"/>
        <w:kinsoku w:val="0"/>
        <w:overflowPunct w:val="0"/>
        <w:spacing w:line="360" w:lineRule="auto"/>
        <w:ind w:right="-45"/>
        <w:jc w:val="both"/>
        <w:rPr>
          <w:rFonts w:ascii="Calibri" w:hAnsi="Calibri"/>
          <w:sz w:val="22"/>
          <w:szCs w:val="22"/>
        </w:rPr>
      </w:pPr>
    </w:p>
    <w:p w14:paraId="14672310" w14:textId="1D2DBF19" w:rsidR="00446481" w:rsidRPr="006B20D8" w:rsidRDefault="00C100A4" w:rsidP="006B20D8">
      <w:pPr>
        <w:pStyle w:val="BodyText"/>
        <w:kinsoku w:val="0"/>
        <w:overflowPunct w:val="0"/>
        <w:spacing w:line="360" w:lineRule="auto"/>
        <w:ind w:right="-45"/>
        <w:jc w:val="both"/>
        <w:rPr>
          <w:rFonts w:ascii="Calibri" w:hAnsi="Calibri"/>
          <w:sz w:val="22"/>
          <w:szCs w:val="22"/>
        </w:rPr>
      </w:pPr>
      <w:r w:rsidRPr="006B20D8">
        <w:rPr>
          <w:rFonts w:ascii="Calibri" w:hAnsi="Calibri"/>
          <w:sz w:val="22"/>
          <w:szCs w:val="22"/>
        </w:rPr>
        <w:t>The National Transport Authority wishes to recruit a suitably experienced and qualified individual to the role of</w:t>
      </w:r>
      <w:r w:rsidR="009D6ECC" w:rsidRPr="006B20D8">
        <w:rPr>
          <w:rFonts w:ascii="Calibri" w:hAnsi="Calibri"/>
          <w:sz w:val="22"/>
          <w:szCs w:val="22"/>
        </w:rPr>
        <w:t xml:space="preserve"> Senior Customer Experience Officer</w:t>
      </w:r>
      <w:r w:rsidR="003C3DA7" w:rsidRPr="006B20D8">
        <w:rPr>
          <w:rFonts w:ascii="Calibri" w:hAnsi="Calibri"/>
          <w:sz w:val="22"/>
          <w:szCs w:val="22"/>
        </w:rPr>
        <w:t>.</w:t>
      </w:r>
      <w:r w:rsidR="00DE4708" w:rsidRPr="006B20D8">
        <w:rPr>
          <w:rFonts w:ascii="Calibri" w:hAnsi="Calibri"/>
          <w:sz w:val="22"/>
          <w:szCs w:val="22"/>
        </w:rPr>
        <w:t xml:space="preserve"> </w:t>
      </w:r>
      <w:r w:rsidR="006B20D8" w:rsidRPr="006B20D8">
        <w:rPr>
          <w:rFonts w:ascii="Calibri" w:hAnsi="Calibri"/>
          <w:sz w:val="22"/>
          <w:szCs w:val="22"/>
        </w:rPr>
        <w:t xml:space="preserve"> </w:t>
      </w:r>
      <w:r w:rsidR="00DE4708" w:rsidRPr="006B20D8">
        <w:rPr>
          <w:rFonts w:ascii="Calibri" w:hAnsi="Calibri"/>
          <w:sz w:val="22"/>
          <w:szCs w:val="22"/>
        </w:rPr>
        <w:t>Successful candidates may be placed on a panel from which future vacancies may be filled.</w:t>
      </w:r>
    </w:p>
    <w:p w14:paraId="1F715344"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5994093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22F059D8" w14:textId="77777777" w:rsidR="00A02EDC" w:rsidRDefault="00A02EDC" w:rsidP="00E6233C">
      <w:pPr>
        <w:spacing w:line="360" w:lineRule="auto"/>
        <w:ind w:right="-32"/>
        <w:jc w:val="both"/>
        <w:rPr>
          <w:rFonts w:ascii="Calibri" w:hAnsi="Calibri" w:cs="Arial"/>
          <w:color w:val="000000" w:themeColor="text1"/>
          <w:sz w:val="22"/>
          <w:szCs w:val="22"/>
          <w:lang w:val="en-IE"/>
        </w:rPr>
      </w:pPr>
    </w:p>
    <w:p w14:paraId="6801EBF2" w14:textId="77777777" w:rsidR="006B20D8" w:rsidRDefault="006B20D8" w:rsidP="00E6233C">
      <w:pPr>
        <w:spacing w:line="360" w:lineRule="auto"/>
        <w:ind w:right="-32"/>
        <w:jc w:val="both"/>
        <w:rPr>
          <w:rFonts w:ascii="Calibri" w:hAnsi="Calibri" w:cs="Arial"/>
          <w:b/>
          <w:color w:val="000000" w:themeColor="text1"/>
          <w:sz w:val="24"/>
          <w:szCs w:val="26"/>
          <w:lang w:val="en-IE"/>
        </w:rPr>
      </w:pPr>
    </w:p>
    <w:p w14:paraId="1F32F8BF" w14:textId="7C4B18C3" w:rsidR="00446481" w:rsidRPr="003C3DA7" w:rsidRDefault="004D5DF5" w:rsidP="00E6233C">
      <w:pPr>
        <w:spacing w:line="360" w:lineRule="auto"/>
        <w:ind w:right="-32"/>
        <w:jc w:val="both"/>
        <w:rPr>
          <w:rFonts w:ascii="Calibri" w:hAnsi="Calibri" w:cs="Arial"/>
          <w:b/>
          <w:color w:val="000000" w:themeColor="text1"/>
          <w:sz w:val="26"/>
          <w:szCs w:val="26"/>
          <w:lang w:val="en-IE"/>
        </w:rPr>
      </w:pPr>
      <w:r w:rsidRPr="003C3DA7">
        <w:rPr>
          <w:rFonts w:ascii="Calibri" w:hAnsi="Calibri" w:cs="Arial"/>
          <w:b/>
          <w:color w:val="000000" w:themeColor="text1"/>
          <w:sz w:val="24"/>
          <w:szCs w:val="26"/>
          <w:lang w:val="en-IE"/>
        </w:rPr>
        <w:t>D</w:t>
      </w:r>
      <w:r w:rsidR="000F2327" w:rsidRPr="003C3DA7">
        <w:rPr>
          <w:rFonts w:ascii="Calibri" w:hAnsi="Calibri" w:cs="Arial"/>
          <w:b/>
          <w:color w:val="000000" w:themeColor="text1"/>
          <w:sz w:val="24"/>
          <w:szCs w:val="26"/>
          <w:lang w:val="en-IE"/>
        </w:rPr>
        <w:t>uties</w:t>
      </w:r>
      <w:r w:rsidRPr="003C3DA7">
        <w:rPr>
          <w:rFonts w:ascii="Calibri" w:hAnsi="Calibri" w:cs="Arial"/>
          <w:b/>
          <w:color w:val="000000" w:themeColor="text1"/>
          <w:sz w:val="24"/>
          <w:szCs w:val="26"/>
          <w:lang w:val="en-IE"/>
        </w:rPr>
        <w:t xml:space="preserve"> </w:t>
      </w:r>
      <w:r w:rsidR="000F2327" w:rsidRPr="003C3DA7">
        <w:rPr>
          <w:rFonts w:ascii="Calibri" w:hAnsi="Calibri" w:cs="Arial"/>
          <w:b/>
          <w:color w:val="000000" w:themeColor="text1"/>
          <w:sz w:val="24"/>
          <w:szCs w:val="26"/>
          <w:lang w:val="en-IE"/>
        </w:rPr>
        <w:t>and</w:t>
      </w:r>
      <w:r w:rsidRPr="003C3DA7">
        <w:rPr>
          <w:rFonts w:ascii="Calibri" w:hAnsi="Calibri" w:cs="Arial"/>
          <w:b/>
          <w:color w:val="000000" w:themeColor="text1"/>
          <w:sz w:val="24"/>
          <w:szCs w:val="26"/>
          <w:lang w:val="en-IE"/>
        </w:rPr>
        <w:t xml:space="preserve"> </w:t>
      </w:r>
      <w:r w:rsidR="000F2327" w:rsidRPr="003C3DA7">
        <w:rPr>
          <w:rFonts w:ascii="Calibri" w:hAnsi="Calibri" w:cs="Arial"/>
          <w:b/>
          <w:color w:val="000000" w:themeColor="text1"/>
          <w:sz w:val="24"/>
          <w:szCs w:val="26"/>
          <w:lang w:val="en-IE"/>
        </w:rPr>
        <w:t>Responsibilities</w:t>
      </w:r>
    </w:p>
    <w:p w14:paraId="6B2E2607" w14:textId="77777777" w:rsidR="003C3DA7" w:rsidRPr="006B20D8" w:rsidRDefault="003C3DA7" w:rsidP="006B20D8">
      <w:pPr>
        <w:tabs>
          <w:tab w:val="left" w:pos="8364"/>
        </w:tabs>
        <w:spacing w:after="200" w:line="360" w:lineRule="auto"/>
        <w:ind w:right="-32"/>
        <w:jc w:val="both"/>
        <w:rPr>
          <w:rFonts w:asciiTheme="minorHAnsi" w:hAnsiTheme="minorHAnsi" w:cstheme="minorHAnsi"/>
          <w:sz w:val="22"/>
          <w:szCs w:val="22"/>
        </w:rPr>
      </w:pPr>
      <w:r w:rsidRPr="006B20D8">
        <w:rPr>
          <w:rFonts w:asciiTheme="minorHAnsi" w:hAnsiTheme="minorHAnsi" w:cstheme="minorHAnsi"/>
          <w:sz w:val="22"/>
          <w:szCs w:val="22"/>
        </w:rPr>
        <w:t xml:space="preserve">The successful candidate will support NTA’s Head of Customer Experience in improving the customer experience of NTA public transport initiatives as well as cycling and walking. </w:t>
      </w:r>
    </w:p>
    <w:p w14:paraId="6475D486" w14:textId="77777777" w:rsidR="003C3DA7" w:rsidRPr="006B20D8" w:rsidRDefault="003C3DA7" w:rsidP="006B20D8">
      <w:pPr>
        <w:tabs>
          <w:tab w:val="left" w:pos="8364"/>
        </w:tabs>
        <w:spacing w:after="200" w:line="360" w:lineRule="auto"/>
        <w:ind w:right="-32"/>
        <w:jc w:val="both"/>
        <w:rPr>
          <w:rFonts w:asciiTheme="minorHAnsi" w:hAnsiTheme="minorHAnsi" w:cstheme="minorHAnsi"/>
          <w:sz w:val="22"/>
          <w:szCs w:val="22"/>
        </w:rPr>
      </w:pPr>
      <w:r w:rsidRPr="006B20D8">
        <w:rPr>
          <w:rFonts w:asciiTheme="minorHAnsi" w:hAnsiTheme="minorHAnsi" w:cstheme="minorHAnsi"/>
          <w:sz w:val="22"/>
          <w:szCs w:val="22"/>
        </w:rPr>
        <w:t>The successful candidate will be required to fulfil the following principal responsibilities:</w:t>
      </w:r>
    </w:p>
    <w:p w14:paraId="17670DCC"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Advocate for good customer experience on a variety of projects, and become a member of project working/steering groups;</w:t>
      </w:r>
    </w:p>
    <w:p w14:paraId="6788FAE9"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Act as the Voice of the Customer for key public transport projects;</w:t>
      </w:r>
    </w:p>
    <w:p w14:paraId="0D0EB881"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Manage NTA’s market research contract;</w:t>
      </w:r>
    </w:p>
    <w:p w14:paraId="08C8EA02"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Commission research on behalf of a wide range of public transport projects that gives customer insights including NTA’s annual customer satisfaction research;</w:t>
      </w:r>
    </w:p>
    <w:p w14:paraId="1EC60A99"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Implement customer insights on a range of public transport projects;</w:t>
      </w:r>
    </w:p>
    <w:p w14:paraId="2E914814"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Improve the usability of NTA’s customer facing digital platforms; particularly its website and Apps;</w:t>
      </w:r>
    </w:p>
    <w:p w14:paraId="1686FF76"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Work with and influence stakeholders in different departments within NTA as well as transport operators to provide better customer experience;</w:t>
      </w:r>
    </w:p>
    <w:p w14:paraId="5402FD53"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Work with and implement feedback from customer groups;</w:t>
      </w:r>
    </w:p>
    <w:p w14:paraId="11BD407B"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 xml:space="preserve">Assist with the procurement of a variety of contracts that provide customer facing products; </w:t>
      </w:r>
    </w:p>
    <w:p w14:paraId="245F74AB"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Assist with the development and implementation of NTA’s new customer contact centre;</w:t>
      </w:r>
    </w:p>
    <w:p w14:paraId="7D0B909F"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Directly answer customer queries through the NTA Customer Relationship Management system;</w:t>
      </w:r>
    </w:p>
    <w:p w14:paraId="3FB80F0F"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Work with the Head of Customer Experience to establish and coordinate a new integrated public transport operator customer experience group;</w:t>
      </w:r>
    </w:p>
    <w:p w14:paraId="1326907D"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Regularly report on KPIs and achievements; and</w:t>
      </w:r>
    </w:p>
    <w:p w14:paraId="4981BD50" w14:textId="77777777" w:rsidR="003C3DA7" w:rsidRPr="006B20D8" w:rsidRDefault="003C3DA7" w:rsidP="006B20D8">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B20D8">
        <w:rPr>
          <w:rFonts w:asciiTheme="minorHAnsi" w:hAnsiTheme="minorHAnsi" w:cstheme="minorHAnsi"/>
          <w:color w:val="000000" w:themeColor="text1"/>
          <w:sz w:val="22"/>
          <w:szCs w:val="22"/>
        </w:rPr>
        <w:t>Other tasks as required.</w:t>
      </w:r>
    </w:p>
    <w:p w14:paraId="2008E366" w14:textId="77777777" w:rsidR="005100A8"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435B5832" w14:textId="77777777" w:rsidR="00A02EDC" w:rsidRPr="000F2327" w:rsidRDefault="00A02EDC"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2B49BEC0"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w:t>
      </w:r>
      <w:r w:rsidR="003C3DA7" w:rsidRPr="00D75834">
        <w:rPr>
          <w:rFonts w:asciiTheme="minorHAnsi" w:hAnsiTheme="minorHAnsi" w:cstheme="minorHAnsi"/>
          <w:sz w:val="22"/>
          <w:szCs w:val="22"/>
        </w:rPr>
        <w:t xml:space="preserve"> </w:t>
      </w:r>
      <w:r w:rsidRPr="00D75834">
        <w:rPr>
          <w:rFonts w:asciiTheme="minorHAnsi" w:hAnsiTheme="minorHAnsi" w:cstheme="minorHAnsi"/>
          <w:sz w:val="22"/>
          <w:szCs w:val="22"/>
        </w:rPr>
        <w:t>re based on the current organisational requirements and may be changed from time to time. The person</w:t>
      </w:r>
      <w:r w:rsidR="003C3DA7">
        <w:rPr>
          <w:rFonts w:asciiTheme="minorHAnsi" w:hAnsiTheme="minorHAnsi" w:cstheme="minorHAnsi"/>
          <w:sz w:val="22"/>
          <w:szCs w:val="22"/>
        </w:rPr>
        <w:t xml:space="preserve"> </w:t>
      </w:r>
      <w:r w:rsidRPr="00D75834">
        <w:rPr>
          <w:rFonts w:asciiTheme="minorHAnsi" w:hAnsiTheme="minorHAnsi" w:cstheme="minorHAnsi"/>
          <w:sz w:val="22"/>
          <w:szCs w:val="22"/>
        </w:rPr>
        <w:t>appointed require the flexibility to fulfil other roles and responsibilities at a similar level within the Authority.</w:t>
      </w:r>
    </w:p>
    <w:p w14:paraId="30E5C754" w14:textId="4D98AFCD" w:rsidR="004D5DF5" w:rsidRDefault="004D5DF5" w:rsidP="00E6233C">
      <w:pPr>
        <w:tabs>
          <w:tab w:val="left" w:pos="8364"/>
        </w:tabs>
        <w:spacing w:line="360" w:lineRule="auto"/>
        <w:ind w:right="-32"/>
        <w:rPr>
          <w:rFonts w:asciiTheme="minorHAnsi" w:hAnsiTheme="minorHAnsi" w:cstheme="minorHAnsi"/>
          <w:b/>
          <w:sz w:val="22"/>
          <w:szCs w:val="22"/>
          <w:u w:val="single"/>
        </w:rPr>
      </w:pPr>
    </w:p>
    <w:p w14:paraId="759D3C50" w14:textId="068D6600" w:rsidR="006B20D8" w:rsidRDefault="006B20D8" w:rsidP="00E6233C">
      <w:pPr>
        <w:tabs>
          <w:tab w:val="left" w:pos="8364"/>
        </w:tabs>
        <w:spacing w:line="360" w:lineRule="auto"/>
        <w:ind w:right="-32"/>
        <w:rPr>
          <w:rFonts w:asciiTheme="minorHAnsi" w:hAnsiTheme="minorHAnsi" w:cstheme="minorHAnsi"/>
          <w:b/>
          <w:sz w:val="22"/>
          <w:szCs w:val="22"/>
          <w:u w:val="single"/>
        </w:rPr>
      </w:pPr>
    </w:p>
    <w:p w14:paraId="798EB69C" w14:textId="77777777" w:rsidR="006B20D8" w:rsidRPr="00D75834" w:rsidRDefault="006B20D8" w:rsidP="00E6233C">
      <w:pPr>
        <w:tabs>
          <w:tab w:val="left" w:pos="8364"/>
        </w:tabs>
        <w:spacing w:line="360" w:lineRule="auto"/>
        <w:ind w:right="-32"/>
        <w:rPr>
          <w:rFonts w:asciiTheme="minorHAnsi" w:hAnsiTheme="minorHAnsi" w:cstheme="minorHAnsi"/>
          <w:b/>
          <w:sz w:val="22"/>
          <w:szCs w:val="22"/>
          <w:u w:val="single"/>
        </w:rPr>
      </w:pPr>
    </w:p>
    <w:p w14:paraId="7A1CA4CC" w14:textId="77777777"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3C3DA7">
        <w:rPr>
          <w:rFonts w:asciiTheme="minorHAnsi" w:hAnsiTheme="minorHAnsi" w:cstheme="minorHAnsi"/>
          <w:b/>
          <w:bCs/>
          <w:kern w:val="32"/>
          <w:sz w:val="24"/>
          <w:szCs w:val="26"/>
        </w:rPr>
        <w:lastRenderedPageBreak/>
        <w:t>E</w:t>
      </w:r>
      <w:r w:rsidR="00A6561C" w:rsidRPr="003C3DA7">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4FFC452E" w14:textId="77777777" w:rsidR="003C3DA7" w:rsidRPr="003E12DB" w:rsidRDefault="003C3DA7" w:rsidP="003C3DA7">
      <w:pPr>
        <w:pStyle w:val="ListParagraph"/>
        <w:numPr>
          <w:ilvl w:val="0"/>
          <w:numId w:val="47"/>
        </w:numPr>
        <w:spacing w:after="120" w:line="360" w:lineRule="auto"/>
        <w:jc w:val="both"/>
        <w:rPr>
          <w:rFonts w:ascii="Calibri" w:hAnsi="Calibri"/>
          <w:color w:val="000000"/>
          <w:sz w:val="22"/>
          <w:szCs w:val="22"/>
          <w:lang w:eastAsia="en-US"/>
        </w:rPr>
      </w:pPr>
      <w:r w:rsidRPr="00AD1891">
        <w:rPr>
          <w:rFonts w:asciiTheme="minorHAnsi" w:hAnsiTheme="minorHAnsi"/>
          <w:sz w:val="22"/>
          <w:szCs w:val="22"/>
        </w:rPr>
        <w:t xml:space="preserve">Hold a minimum of a NFQ Level </w:t>
      </w:r>
      <w:r>
        <w:rPr>
          <w:rFonts w:asciiTheme="minorHAnsi" w:hAnsiTheme="minorHAnsi"/>
          <w:sz w:val="22"/>
          <w:szCs w:val="22"/>
        </w:rPr>
        <w:t>7 qualification in a relevant discipline, being</w:t>
      </w:r>
      <w:r w:rsidRPr="003E12DB">
        <w:rPr>
          <w:rFonts w:ascii="Calibri" w:hAnsi="Calibri"/>
          <w:color w:val="000000"/>
          <w:sz w:val="22"/>
          <w:szCs w:val="22"/>
          <w:lang w:eastAsia="en-US"/>
        </w:rPr>
        <w:t xml:space="preserve"> marketing, busines</w:t>
      </w:r>
      <w:r>
        <w:rPr>
          <w:rFonts w:ascii="Calibri" w:hAnsi="Calibri"/>
          <w:color w:val="000000"/>
          <w:sz w:val="22"/>
          <w:szCs w:val="22"/>
          <w:lang w:eastAsia="en-US"/>
        </w:rPr>
        <w:t>s, customer experience or equivalent;</w:t>
      </w:r>
    </w:p>
    <w:p w14:paraId="1BF6C630" w14:textId="03FFA11F" w:rsidR="003C3DA7" w:rsidRDefault="003C3DA7" w:rsidP="003C3DA7">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 xml:space="preserve">Have </w:t>
      </w:r>
      <w:r w:rsidRPr="003E12DB">
        <w:rPr>
          <w:rFonts w:ascii="Calibri" w:hAnsi="Calibri"/>
          <w:color w:val="000000"/>
          <w:sz w:val="22"/>
          <w:szCs w:val="22"/>
          <w:lang w:eastAsia="en-US"/>
        </w:rPr>
        <w:t xml:space="preserve">at least </w:t>
      </w:r>
      <w:r w:rsidR="006B20D8">
        <w:rPr>
          <w:rFonts w:ascii="Calibri" w:hAnsi="Calibri"/>
          <w:color w:val="000000"/>
          <w:sz w:val="22"/>
          <w:szCs w:val="22"/>
          <w:lang w:eastAsia="en-US"/>
        </w:rPr>
        <w:t>5</w:t>
      </w:r>
      <w:r w:rsidRPr="003E12DB">
        <w:rPr>
          <w:rFonts w:ascii="Calibri" w:hAnsi="Calibri"/>
          <w:color w:val="000000"/>
          <w:sz w:val="22"/>
          <w:szCs w:val="22"/>
          <w:lang w:eastAsia="en-US"/>
        </w:rPr>
        <w:t xml:space="preserve"> years’</w:t>
      </w:r>
      <w:r w:rsidR="006B20D8">
        <w:rPr>
          <w:rFonts w:ascii="Calibri" w:hAnsi="Calibri"/>
          <w:color w:val="000000"/>
          <w:sz w:val="22"/>
          <w:szCs w:val="22"/>
          <w:lang w:eastAsia="en-US"/>
        </w:rPr>
        <w:t xml:space="preserve"> </w:t>
      </w:r>
      <w:r>
        <w:rPr>
          <w:rFonts w:ascii="Calibri" w:hAnsi="Calibri"/>
          <w:color w:val="000000"/>
          <w:sz w:val="22"/>
          <w:szCs w:val="22"/>
          <w:lang w:eastAsia="en-US"/>
        </w:rPr>
        <w:t xml:space="preserve">recent relevant </w:t>
      </w:r>
      <w:r w:rsidRPr="00AD56F6">
        <w:rPr>
          <w:rFonts w:ascii="Calibri" w:hAnsi="Calibri"/>
          <w:color w:val="000000"/>
          <w:sz w:val="22"/>
          <w:szCs w:val="22"/>
          <w:lang w:eastAsia="en-US"/>
        </w:rPr>
        <w:t>experience</w:t>
      </w:r>
      <w:r>
        <w:rPr>
          <w:rFonts w:ascii="Calibri" w:hAnsi="Calibri"/>
          <w:color w:val="000000"/>
          <w:sz w:val="22"/>
          <w:szCs w:val="22"/>
          <w:lang w:eastAsia="en-US"/>
        </w:rPr>
        <w:t xml:space="preserve"> in a customer experience/marketing role with 2 of these to be in the management of people and/or projects;</w:t>
      </w:r>
    </w:p>
    <w:p w14:paraId="651DD60F" w14:textId="2E840012" w:rsidR="003C3DA7" w:rsidRDefault="006B20D8" w:rsidP="003C3DA7">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Have at least 1</w:t>
      </w:r>
      <w:r w:rsidR="003C3DA7">
        <w:rPr>
          <w:rFonts w:ascii="Calibri" w:hAnsi="Calibri"/>
          <w:color w:val="000000"/>
          <w:sz w:val="22"/>
          <w:szCs w:val="22"/>
          <w:lang w:eastAsia="en-US"/>
        </w:rPr>
        <w:t xml:space="preserve"> year experience in public transport roles that relate to improving customer experience; and</w:t>
      </w:r>
    </w:p>
    <w:p w14:paraId="5975E1B0" w14:textId="590A10CD" w:rsidR="00B7768C" w:rsidRPr="003C3DA7" w:rsidRDefault="003C3DA7" w:rsidP="003C3DA7">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Have relevant experience improving the customer experience of websites and applications.</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3C3DA7">
        <w:rPr>
          <w:rFonts w:asciiTheme="minorHAnsi" w:hAnsiTheme="minorHAnsi" w:cstheme="minorHAnsi"/>
          <w:b/>
          <w:color w:val="000000" w:themeColor="text1"/>
          <w:sz w:val="24"/>
          <w:szCs w:val="26"/>
        </w:rPr>
        <w:t>D</w:t>
      </w:r>
      <w:r w:rsidR="00A6561C" w:rsidRPr="003C3DA7">
        <w:rPr>
          <w:rFonts w:asciiTheme="minorHAnsi" w:hAnsiTheme="minorHAnsi" w:cstheme="minorHAnsi"/>
          <w:b/>
          <w:color w:val="000000" w:themeColor="text1"/>
          <w:sz w:val="24"/>
          <w:szCs w:val="26"/>
        </w:rPr>
        <w:t xml:space="preserve">esirable </w:t>
      </w:r>
      <w:r w:rsidR="00A47731" w:rsidRPr="003C3DA7">
        <w:rPr>
          <w:rFonts w:asciiTheme="minorHAnsi" w:hAnsiTheme="minorHAnsi" w:cstheme="minorHAnsi"/>
          <w:b/>
          <w:color w:val="000000" w:themeColor="text1"/>
          <w:sz w:val="24"/>
          <w:szCs w:val="26"/>
        </w:rPr>
        <w:t>Criteria</w:t>
      </w:r>
    </w:p>
    <w:p w14:paraId="6A697A03" w14:textId="7DA14418" w:rsidR="003C3DA7"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77777777" w:rsidR="00B7768C" w:rsidRPr="000F2327"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52DF4AD5" w14:textId="4CC8EE76" w:rsidR="003C3DA7" w:rsidRPr="003C3DA7" w:rsidRDefault="003C3DA7" w:rsidP="003C3DA7">
      <w:pPr>
        <w:pStyle w:val="ListParagraph"/>
        <w:numPr>
          <w:ilvl w:val="0"/>
          <w:numId w:val="47"/>
        </w:numPr>
        <w:spacing w:after="120" w:line="360" w:lineRule="auto"/>
        <w:jc w:val="both"/>
        <w:rPr>
          <w:rFonts w:ascii="Calibri" w:hAnsi="Calibri"/>
          <w:color w:val="000000"/>
          <w:sz w:val="22"/>
          <w:szCs w:val="22"/>
          <w:lang w:eastAsia="en-US"/>
        </w:rPr>
      </w:pPr>
      <w:r w:rsidRPr="003C3DA7">
        <w:rPr>
          <w:rFonts w:ascii="Calibri" w:hAnsi="Calibri"/>
          <w:color w:val="000000"/>
          <w:sz w:val="22"/>
          <w:szCs w:val="22"/>
          <w:lang w:eastAsia="en-US"/>
        </w:rPr>
        <w:t>Have relevant experience in public procurement;</w:t>
      </w:r>
    </w:p>
    <w:p w14:paraId="5B46AABD" w14:textId="77777777" w:rsidR="003C3DA7" w:rsidRPr="003C3DA7" w:rsidRDefault="003C3DA7" w:rsidP="003C3DA7">
      <w:pPr>
        <w:pStyle w:val="ListParagraph"/>
        <w:numPr>
          <w:ilvl w:val="0"/>
          <w:numId w:val="47"/>
        </w:numPr>
        <w:spacing w:after="120" w:line="360" w:lineRule="auto"/>
        <w:jc w:val="both"/>
        <w:rPr>
          <w:rFonts w:ascii="Calibri" w:hAnsi="Calibri"/>
          <w:color w:val="000000"/>
          <w:sz w:val="22"/>
          <w:szCs w:val="22"/>
          <w:lang w:eastAsia="en-US"/>
        </w:rPr>
      </w:pPr>
      <w:r w:rsidRPr="003C3DA7">
        <w:rPr>
          <w:rFonts w:ascii="Calibri" w:hAnsi="Calibri"/>
          <w:color w:val="000000"/>
          <w:sz w:val="22"/>
          <w:szCs w:val="22"/>
          <w:lang w:eastAsia="en-US"/>
        </w:rPr>
        <w:t>Have relevant experience developing customer products and propositions;</w:t>
      </w:r>
    </w:p>
    <w:p w14:paraId="4110FAF0" w14:textId="77777777" w:rsidR="003C3DA7" w:rsidRPr="003C3DA7" w:rsidRDefault="003C3DA7" w:rsidP="003C3DA7">
      <w:pPr>
        <w:pStyle w:val="ListParagraph"/>
        <w:numPr>
          <w:ilvl w:val="0"/>
          <w:numId w:val="47"/>
        </w:numPr>
        <w:spacing w:after="120" w:line="360" w:lineRule="auto"/>
        <w:jc w:val="both"/>
        <w:rPr>
          <w:rFonts w:asciiTheme="minorHAnsi" w:hAnsiTheme="minorHAnsi"/>
          <w:sz w:val="22"/>
          <w:szCs w:val="22"/>
        </w:rPr>
      </w:pPr>
      <w:r w:rsidRPr="003C3DA7">
        <w:rPr>
          <w:rFonts w:ascii="Calibri" w:hAnsi="Calibri"/>
          <w:color w:val="000000"/>
          <w:sz w:val="22"/>
          <w:szCs w:val="22"/>
          <w:lang w:eastAsia="en-US"/>
        </w:rPr>
        <w:t>Have excellent report writing and communication skills with the ability to present results to a management audience.</w:t>
      </w:r>
    </w:p>
    <w:p w14:paraId="4446A922" w14:textId="063126F6" w:rsidR="00446481" w:rsidRDefault="00446481" w:rsidP="00F65790">
      <w:pPr>
        <w:tabs>
          <w:tab w:val="left" w:pos="8364"/>
        </w:tabs>
        <w:spacing w:line="360" w:lineRule="auto"/>
        <w:ind w:right="-32"/>
        <w:jc w:val="both"/>
        <w:rPr>
          <w:rFonts w:ascii="Calibri" w:hAnsi="Calibri"/>
          <w:sz w:val="22"/>
          <w:lang w:val="en-IE"/>
        </w:rPr>
      </w:pPr>
    </w:p>
    <w:p w14:paraId="26B0655D" w14:textId="77777777" w:rsidR="006B20D8" w:rsidRPr="000F2327" w:rsidRDefault="006B20D8" w:rsidP="00F65790">
      <w:pPr>
        <w:tabs>
          <w:tab w:val="left" w:pos="8364"/>
        </w:tabs>
        <w:spacing w:line="360" w:lineRule="auto"/>
        <w:ind w:right="-32"/>
        <w:jc w:val="both"/>
        <w:rPr>
          <w:rFonts w:ascii="Calibri" w:hAnsi="Calibri"/>
          <w:sz w:val="22"/>
          <w:lang w:val="en-IE"/>
        </w:rPr>
      </w:pPr>
    </w:p>
    <w:p w14:paraId="65D36952" w14:textId="77777777" w:rsidR="00805C30" w:rsidRPr="003C3DA7" w:rsidRDefault="007A1FEC" w:rsidP="00E6233C">
      <w:pPr>
        <w:spacing w:line="360" w:lineRule="auto"/>
        <w:ind w:right="-32"/>
        <w:jc w:val="both"/>
        <w:rPr>
          <w:rFonts w:ascii="Calibri" w:hAnsi="Calibri" w:cs="Arial"/>
          <w:b/>
          <w:color w:val="000000" w:themeColor="text1"/>
          <w:sz w:val="24"/>
          <w:szCs w:val="24"/>
        </w:rPr>
      </w:pPr>
      <w:r w:rsidRPr="003C3DA7">
        <w:rPr>
          <w:rFonts w:ascii="Calibri" w:hAnsi="Calibri" w:cs="Arial"/>
          <w:b/>
          <w:color w:val="000000" w:themeColor="text1"/>
          <w:sz w:val="24"/>
          <w:szCs w:val="24"/>
        </w:rPr>
        <w:t>R</w:t>
      </w:r>
      <w:r w:rsidR="00805C30" w:rsidRPr="003C3DA7">
        <w:rPr>
          <w:rFonts w:ascii="Calibri" w:hAnsi="Calibri" w:cs="Arial"/>
          <w:b/>
          <w:color w:val="000000" w:themeColor="text1"/>
          <w:sz w:val="24"/>
          <w:szCs w:val="24"/>
        </w:rPr>
        <w:t>emuneration</w:t>
      </w:r>
    </w:p>
    <w:p w14:paraId="7A7C652C" w14:textId="2EBDC6B9" w:rsidR="000C4777" w:rsidRPr="003C3DA7" w:rsidRDefault="00690EB0" w:rsidP="00E6233C">
      <w:pPr>
        <w:spacing w:line="360" w:lineRule="auto"/>
        <w:ind w:right="-32"/>
        <w:jc w:val="both"/>
        <w:rPr>
          <w:rFonts w:ascii="Calibri" w:hAnsi="Calibri" w:cs="Arial"/>
          <w:color w:val="000000" w:themeColor="text1"/>
          <w:sz w:val="22"/>
          <w:szCs w:val="22"/>
        </w:rPr>
      </w:pPr>
      <w:r w:rsidRPr="003C3DA7">
        <w:rPr>
          <w:rFonts w:ascii="Calibri" w:hAnsi="Calibri" w:cs="Arial"/>
          <w:b/>
          <w:color w:val="000000" w:themeColor="text1"/>
          <w:sz w:val="22"/>
          <w:szCs w:val="22"/>
        </w:rPr>
        <w:t>Salary Grade:</w:t>
      </w:r>
      <w:r w:rsidRPr="003C3DA7">
        <w:rPr>
          <w:rFonts w:ascii="Calibri" w:hAnsi="Calibri" w:cs="Arial"/>
          <w:b/>
          <w:color w:val="000000" w:themeColor="text1"/>
          <w:sz w:val="22"/>
          <w:szCs w:val="22"/>
        </w:rPr>
        <w:tab/>
      </w:r>
      <w:r w:rsidRPr="003C3DA7">
        <w:rPr>
          <w:rFonts w:ascii="Calibri" w:hAnsi="Calibri" w:cs="Arial"/>
          <w:b/>
          <w:color w:val="000000" w:themeColor="text1"/>
          <w:sz w:val="22"/>
          <w:szCs w:val="22"/>
        </w:rPr>
        <w:tab/>
      </w:r>
      <w:r w:rsidR="00F63274" w:rsidRPr="003C3DA7">
        <w:rPr>
          <w:rFonts w:ascii="Calibri" w:hAnsi="Calibri" w:cs="Arial"/>
          <w:b/>
          <w:color w:val="000000" w:themeColor="text1"/>
          <w:sz w:val="22"/>
          <w:szCs w:val="22"/>
        </w:rPr>
        <w:tab/>
      </w:r>
      <w:r w:rsidR="003C3DA7" w:rsidRPr="003C3DA7">
        <w:rPr>
          <w:rFonts w:ascii="Calibri" w:hAnsi="Calibri" w:cs="Arial"/>
          <w:b/>
          <w:color w:val="000000" w:themeColor="text1"/>
          <w:sz w:val="22"/>
          <w:szCs w:val="22"/>
        </w:rPr>
        <w:t xml:space="preserve">Higher Executive Officer </w:t>
      </w:r>
      <w:r w:rsidR="008E2756" w:rsidRPr="003C3DA7">
        <w:rPr>
          <w:rFonts w:ascii="Calibri" w:hAnsi="Calibri" w:cs="Arial"/>
          <w:b/>
          <w:color w:val="000000" w:themeColor="text1"/>
          <w:sz w:val="22"/>
          <w:szCs w:val="22"/>
        </w:rPr>
        <w:t xml:space="preserve"> </w:t>
      </w:r>
    </w:p>
    <w:p w14:paraId="0AA0301B" w14:textId="4BB476E5" w:rsidR="003C3DA7" w:rsidRPr="003C3DA7" w:rsidRDefault="00D8645F" w:rsidP="00BA1F93">
      <w:pPr>
        <w:ind w:left="2880" w:hanging="2880"/>
        <w:jc w:val="both"/>
        <w:rPr>
          <w:rFonts w:cs="Arial"/>
          <w:sz w:val="14"/>
          <w:szCs w:val="14"/>
          <w:lang w:val="en-IE" w:eastAsia="en-IE"/>
        </w:rPr>
      </w:pPr>
      <w:r w:rsidRPr="003C3DA7">
        <w:rPr>
          <w:rFonts w:ascii="Calibri" w:hAnsi="Calibri" w:cs="Arial"/>
          <w:b/>
          <w:color w:val="000000" w:themeColor="text1"/>
          <w:sz w:val="22"/>
          <w:szCs w:val="22"/>
        </w:rPr>
        <w:t>Salary Scale</w:t>
      </w:r>
      <w:r w:rsidR="00CF7A81" w:rsidRPr="003C3DA7">
        <w:rPr>
          <w:rFonts w:ascii="Calibri" w:hAnsi="Calibri" w:cs="Arial"/>
          <w:b/>
          <w:color w:val="000000" w:themeColor="text1"/>
          <w:sz w:val="22"/>
          <w:szCs w:val="22"/>
        </w:rPr>
        <w:t>:</w:t>
      </w:r>
      <w:r w:rsidR="00F63274" w:rsidRPr="003C3DA7">
        <w:rPr>
          <w:rFonts w:ascii="Calibri" w:hAnsi="Calibri" w:cs="Arial"/>
          <w:b/>
          <w:color w:val="000000" w:themeColor="text1"/>
          <w:sz w:val="22"/>
          <w:szCs w:val="22"/>
        </w:rPr>
        <w:tab/>
      </w:r>
      <w:r w:rsidR="003C3DA7" w:rsidRPr="003C3DA7">
        <w:rPr>
          <w:rFonts w:asciiTheme="minorHAnsi" w:hAnsiTheme="minorHAnsi"/>
          <w:b/>
          <w:color w:val="000000" w:themeColor="text1"/>
          <w:sz w:val="22"/>
          <w:szCs w:val="22"/>
        </w:rPr>
        <w:t>€55,996.00</w:t>
      </w:r>
      <w:r w:rsidR="003C3DA7" w:rsidRPr="003C3DA7">
        <w:rPr>
          <w:rFonts w:asciiTheme="minorHAnsi" w:hAnsiTheme="minorHAnsi"/>
          <w:b/>
          <w:color w:val="000000" w:themeColor="text1"/>
          <w:sz w:val="22"/>
          <w:szCs w:val="22"/>
          <w:lang w:val="en-IE"/>
        </w:rPr>
        <w:t xml:space="preserve">, </w:t>
      </w:r>
      <w:r w:rsidR="003C3DA7" w:rsidRPr="003C3DA7">
        <w:rPr>
          <w:rFonts w:asciiTheme="minorHAnsi" w:hAnsiTheme="minorHAnsi"/>
          <w:b/>
          <w:color w:val="000000" w:themeColor="text1"/>
          <w:sz w:val="22"/>
          <w:szCs w:val="22"/>
        </w:rPr>
        <w:t>€57,633, €59,267, €60,900, €62,539, €64,170, €65,806, €68,167</w:t>
      </w:r>
      <w:r w:rsidR="00BA1F93">
        <w:rPr>
          <w:rFonts w:asciiTheme="minorHAnsi" w:hAnsiTheme="minorHAnsi"/>
          <w:b/>
          <w:color w:val="000000" w:themeColor="text1"/>
          <w:sz w:val="22"/>
          <w:szCs w:val="22"/>
        </w:rPr>
        <w:t xml:space="preserve"> (LS1)</w:t>
      </w:r>
      <w:r w:rsidR="003C3DA7" w:rsidRPr="003C3DA7">
        <w:rPr>
          <w:rFonts w:asciiTheme="minorHAnsi" w:hAnsiTheme="minorHAnsi"/>
          <w:b/>
          <w:color w:val="000000" w:themeColor="text1"/>
          <w:sz w:val="22"/>
          <w:szCs w:val="22"/>
        </w:rPr>
        <w:t>,</w:t>
      </w:r>
      <w:r w:rsidR="00BA1F93">
        <w:rPr>
          <w:rFonts w:asciiTheme="minorHAnsi" w:hAnsiTheme="minorHAnsi"/>
          <w:b/>
          <w:color w:val="000000" w:themeColor="text1"/>
          <w:sz w:val="22"/>
          <w:szCs w:val="22"/>
        </w:rPr>
        <w:t xml:space="preserve">      </w:t>
      </w:r>
      <w:r w:rsidR="00BA1F93" w:rsidRPr="003C3DA7">
        <w:rPr>
          <w:rFonts w:asciiTheme="minorHAnsi" w:hAnsiTheme="minorHAnsi"/>
          <w:b/>
          <w:color w:val="000000" w:themeColor="text1"/>
          <w:sz w:val="22"/>
          <w:szCs w:val="22"/>
        </w:rPr>
        <w:t>€</w:t>
      </w:r>
      <w:r w:rsidR="00BA1F93">
        <w:rPr>
          <w:rFonts w:asciiTheme="minorHAnsi" w:hAnsiTheme="minorHAnsi"/>
          <w:b/>
          <w:color w:val="000000" w:themeColor="text1"/>
          <w:sz w:val="22"/>
          <w:szCs w:val="22"/>
        </w:rPr>
        <w:t>70,522 (LS2)</w:t>
      </w:r>
    </w:p>
    <w:p w14:paraId="114248E4" w14:textId="7026AEA0" w:rsidR="00A171F1" w:rsidRPr="003C3DA7" w:rsidRDefault="00A171F1" w:rsidP="00E6233C">
      <w:pPr>
        <w:spacing w:line="360" w:lineRule="auto"/>
        <w:ind w:right="-32"/>
        <w:jc w:val="both"/>
        <w:rPr>
          <w:rFonts w:asciiTheme="minorHAnsi" w:hAnsiTheme="minorHAnsi"/>
          <w:b/>
          <w:color w:val="000000" w:themeColor="text1"/>
          <w:sz w:val="22"/>
          <w:szCs w:val="22"/>
          <w:highlight w:val="yellow"/>
          <w:lang w:val="en-IE"/>
        </w:rPr>
      </w:pP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Pr="000F2327" w:rsidRDefault="007A1FEC" w:rsidP="00E6233C">
      <w:pPr>
        <w:spacing w:line="360" w:lineRule="auto"/>
        <w:ind w:left="2880" w:right="-32"/>
        <w:jc w:val="both"/>
        <w:rPr>
          <w:rFonts w:asciiTheme="minorHAnsi" w:hAnsiTheme="minorHAnsi"/>
          <w:b/>
          <w:color w:val="000000" w:themeColor="text1"/>
          <w:sz w:val="22"/>
          <w:szCs w:val="22"/>
          <w:highlight w:val="yellow"/>
        </w:rPr>
      </w:pPr>
    </w:p>
    <w:p w14:paraId="0970963A" w14:textId="77777777" w:rsidR="003C3DA7" w:rsidRDefault="003C3DA7" w:rsidP="00E6233C">
      <w:pPr>
        <w:spacing w:line="360" w:lineRule="auto"/>
        <w:ind w:left="2880" w:right="-32"/>
        <w:jc w:val="both"/>
        <w:rPr>
          <w:rFonts w:asciiTheme="minorHAnsi" w:hAnsiTheme="minorHAnsi"/>
          <w:b/>
          <w:color w:val="000000" w:themeColor="text1"/>
          <w:sz w:val="22"/>
          <w:szCs w:val="22"/>
          <w:highlight w:val="yellow"/>
        </w:rPr>
      </w:pPr>
    </w:p>
    <w:p w14:paraId="10532D00" w14:textId="77777777" w:rsidR="003C3DA7" w:rsidRDefault="003C3DA7" w:rsidP="00E6233C">
      <w:pPr>
        <w:spacing w:line="360" w:lineRule="auto"/>
        <w:ind w:left="2880" w:right="-32"/>
        <w:jc w:val="both"/>
        <w:rPr>
          <w:rFonts w:asciiTheme="minorHAnsi" w:hAnsiTheme="minorHAnsi"/>
          <w:b/>
          <w:color w:val="000000" w:themeColor="text1"/>
          <w:sz w:val="22"/>
          <w:szCs w:val="22"/>
          <w:highlight w:val="yellow"/>
        </w:rPr>
      </w:pPr>
    </w:p>
    <w:p w14:paraId="63B8868B" w14:textId="64D55D89" w:rsidR="003C3DA7" w:rsidRDefault="003C3DA7" w:rsidP="00E6233C">
      <w:pPr>
        <w:spacing w:line="360" w:lineRule="auto"/>
        <w:ind w:left="2880" w:right="-32"/>
        <w:jc w:val="both"/>
        <w:rPr>
          <w:rFonts w:asciiTheme="minorHAnsi" w:hAnsiTheme="minorHAnsi"/>
          <w:b/>
          <w:color w:val="000000" w:themeColor="text1"/>
          <w:sz w:val="22"/>
          <w:szCs w:val="22"/>
        </w:rPr>
      </w:pPr>
      <w:r w:rsidRPr="003F35F3">
        <w:rPr>
          <w:rFonts w:asciiTheme="minorHAnsi" w:hAnsiTheme="minorHAnsi"/>
          <w:b/>
          <w:color w:val="000000" w:themeColor="text1"/>
          <w:sz w:val="22"/>
          <w:szCs w:val="22"/>
        </w:rPr>
        <w:t>€53,332, €54,871, €56,407, €57,957, €59,508, €</w:t>
      </w:r>
      <w:r w:rsidR="003F35F3" w:rsidRPr="003F35F3">
        <w:rPr>
          <w:rFonts w:asciiTheme="minorHAnsi" w:hAnsiTheme="minorHAnsi"/>
          <w:b/>
          <w:color w:val="000000" w:themeColor="text1"/>
          <w:sz w:val="22"/>
          <w:szCs w:val="22"/>
        </w:rPr>
        <w:t>61,071, €62,623, €64,856</w:t>
      </w:r>
      <w:r w:rsidR="00FD4E60">
        <w:rPr>
          <w:rFonts w:asciiTheme="minorHAnsi" w:hAnsiTheme="minorHAnsi"/>
          <w:b/>
          <w:color w:val="000000" w:themeColor="text1"/>
          <w:sz w:val="22"/>
          <w:szCs w:val="22"/>
        </w:rPr>
        <w:t xml:space="preserve"> (LS1</w:t>
      </w:r>
      <w:proofErr w:type="gramStart"/>
      <w:r w:rsidR="00FD4E60">
        <w:rPr>
          <w:rFonts w:asciiTheme="minorHAnsi" w:hAnsiTheme="minorHAnsi"/>
          <w:b/>
          <w:color w:val="000000" w:themeColor="text1"/>
          <w:sz w:val="22"/>
          <w:szCs w:val="22"/>
        </w:rPr>
        <w:t xml:space="preserve">) </w:t>
      </w:r>
      <w:r w:rsidR="003F35F3" w:rsidRPr="003F35F3">
        <w:rPr>
          <w:rFonts w:asciiTheme="minorHAnsi" w:hAnsiTheme="minorHAnsi"/>
          <w:b/>
          <w:color w:val="000000" w:themeColor="text1"/>
          <w:sz w:val="22"/>
          <w:szCs w:val="22"/>
        </w:rPr>
        <w:t>,</w:t>
      </w:r>
      <w:proofErr w:type="gramEnd"/>
      <w:r w:rsidR="003F35F3" w:rsidRPr="003F35F3">
        <w:rPr>
          <w:rFonts w:asciiTheme="minorHAnsi" w:hAnsiTheme="minorHAnsi"/>
          <w:b/>
          <w:color w:val="000000" w:themeColor="text1"/>
          <w:sz w:val="22"/>
          <w:szCs w:val="22"/>
        </w:rPr>
        <w:t xml:space="preserve"> €67,097</w:t>
      </w:r>
      <w:r w:rsidR="00FD4E60">
        <w:rPr>
          <w:rFonts w:asciiTheme="minorHAnsi" w:hAnsiTheme="minorHAnsi"/>
          <w:b/>
          <w:color w:val="000000" w:themeColor="text1"/>
          <w:sz w:val="22"/>
          <w:szCs w:val="22"/>
        </w:rPr>
        <w:t xml:space="preserve"> (LS2)</w:t>
      </w:r>
    </w:p>
    <w:p w14:paraId="09AD519E" w14:textId="1FE65E33"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727B9929"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3F35F3">
        <w:rPr>
          <w:rFonts w:ascii="Calibri" w:hAnsi="Calibri" w:cs="Arial"/>
          <w:b/>
          <w:color w:val="000000" w:themeColor="text1"/>
          <w:sz w:val="22"/>
          <w:szCs w:val="22"/>
        </w:rPr>
        <w:t>Annual Leave</w:t>
      </w:r>
      <w:r w:rsidR="007469D5" w:rsidRPr="003F35F3">
        <w:rPr>
          <w:rFonts w:ascii="Calibri" w:hAnsi="Calibri" w:cs="Arial"/>
          <w:b/>
          <w:color w:val="000000" w:themeColor="text1"/>
          <w:sz w:val="22"/>
          <w:szCs w:val="22"/>
        </w:rPr>
        <w:t>:</w:t>
      </w:r>
      <w:r w:rsidRPr="003F35F3">
        <w:rPr>
          <w:rFonts w:ascii="Calibri" w:hAnsi="Calibri" w:cs="Arial"/>
          <w:b/>
          <w:color w:val="000000" w:themeColor="text1"/>
          <w:sz w:val="22"/>
          <w:szCs w:val="22"/>
        </w:rPr>
        <w:tab/>
      </w:r>
      <w:r w:rsidR="003F35F3" w:rsidRPr="003F35F3">
        <w:rPr>
          <w:rFonts w:ascii="Calibri" w:hAnsi="Calibri" w:cs="Arial"/>
          <w:color w:val="000000" w:themeColor="text1"/>
          <w:sz w:val="22"/>
          <w:szCs w:val="22"/>
        </w:rPr>
        <w:t>2</w:t>
      </w:r>
      <w:r w:rsidR="00A02EDC">
        <w:rPr>
          <w:rFonts w:ascii="Calibri" w:hAnsi="Calibri" w:cs="Arial"/>
          <w:color w:val="000000" w:themeColor="text1"/>
          <w:sz w:val="22"/>
          <w:szCs w:val="22"/>
        </w:rPr>
        <w:t>9</w:t>
      </w:r>
      <w:r w:rsidR="002332B4" w:rsidRPr="003F35F3">
        <w:rPr>
          <w:rFonts w:ascii="Calibri" w:hAnsi="Calibri" w:cs="Arial"/>
          <w:color w:val="000000" w:themeColor="text1"/>
          <w:sz w:val="22"/>
          <w:szCs w:val="22"/>
        </w:rPr>
        <w:t xml:space="preserve"> </w:t>
      </w:r>
      <w:r w:rsidRPr="003F35F3">
        <w:rPr>
          <w:rFonts w:ascii="Calibri" w:hAnsi="Calibri" w:cs="Arial"/>
          <w:color w:val="000000" w:themeColor="text1"/>
          <w:sz w:val="22"/>
          <w:szCs w:val="22"/>
        </w:rPr>
        <w:t>days per annum</w:t>
      </w:r>
      <w:r w:rsidRPr="000F2327">
        <w:rPr>
          <w:rFonts w:ascii="Calibri" w:hAnsi="Calibri" w:cs="Arial"/>
          <w:color w:val="000000" w:themeColor="text1"/>
          <w:sz w:val="22"/>
          <w:szCs w:val="22"/>
        </w:rPr>
        <w:t>.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r w:rsidRPr="000F2327">
        <w:rPr>
          <w:rFonts w:ascii="Calibri" w:hAnsi="Calibri" w:cs="Arial"/>
          <w:color w:val="000000" w:themeColor="text1"/>
          <w:sz w:val="22"/>
          <w:szCs w:val="22"/>
        </w:rPr>
        <w:t>the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D81447B"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r w:rsidRPr="006B20D8">
        <w:rPr>
          <w:rFonts w:asciiTheme="minorHAnsi" w:hAnsiTheme="minorHAnsi" w:cstheme="minorHAnsi"/>
          <w:b/>
          <w:bCs/>
          <w:sz w:val="22"/>
          <w:szCs w:val="22"/>
          <w:lang w:eastAsia="en-US"/>
        </w:rPr>
        <w:t>www.nationaltransport.ie/about-us/careers</w:t>
      </w:r>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5B650A1A"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w:t>
      </w:r>
      <w:r w:rsidRPr="003F35F3">
        <w:rPr>
          <w:rFonts w:asciiTheme="minorHAnsi" w:hAnsiTheme="minorHAnsi" w:cstheme="minorHAnsi"/>
          <w:color w:val="000000" w:themeColor="text1"/>
          <w:sz w:val="22"/>
          <w:szCs w:val="22"/>
        </w:rPr>
        <w:t>to </w:t>
      </w:r>
      <w:r w:rsidR="003F35F3" w:rsidRPr="003F35F3">
        <w:rPr>
          <w:rStyle w:val="Strong"/>
          <w:rFonts w:asciiTheme="minorHAnsi" w:hAnsiTheme="minorHAnsi" w:cstheme="minorHAnsi"/>
          <w:sz w:val="22"/>
          <w:szCs w:val="22"/>
        </w:rPr>
        <w:t>ntacareers@rsmireland.ie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7DBDF3B5"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3F35F3" w:rsidRPr="009D6ECC">
        <w:rPr>
          <w:rFonts w:ascii="Calibri" w:hAnsi="Calibri" w:cs="Arial"/>
          <w:color w:val="000000" w:themeColor="text1"/>
          <w:sz w:val="22"/>
          <w:szCs w:val="22"/>
        </w:rPr>
        <w:t>Senior Customer Experience Officer</w:t>
      </w:r>
      <w:r w:rsidR="003F35F3">
        <w:rPr>
          <w:rFonts w:ascii="Calibri" w:hAnsi="Calibri" w:cs="Arial"/>
          <w:color w:val="000000" w:themeColor="text1"/>
          <w:sz w:val="22"/>
          <w:szCs w:val="22"/>
        </w:rPr>
        <w:t>;</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r w:rsidR="006B20D8">
        <w:rPr>
          <w:rFonts w:ascii="Calibri" w:hAnsi="Calibri" w:cs="Arial"/>
          <w:color w:val="000000" w:themeColor="text1"/>
          <w:sz w:val="22"/>
          <w:szCs w:val="22"/>
          <w:lang w:val="en-IE"/>
        </w:rPr>
        <w:t>and</w:t>
      </w:r>
    </w:p>
    <w:p w14:paraId="10AB0F30" w14:textId="3A78D381" w:rsidR="004433F2" w:rsidRPr="003F35F3" w:rsidRDefault="00A323E0" w:rsidP="00286682">
      <w:pPr>
        <w:numPr>
          <w:ilvl w:val="0"/>
          <w:numId w:val="35"/>
        </w:numPr>
        <w:tabs>
          <w:tab w:val="num" w:pos="1080"/>
          <w:tab w:val="left" w:pos="1701"/>
        </w:tabs>
        <w:spacing w:line="360" w:lineRule="auto"/>
        <w:ind w:right="-32"/>
        <w:jc w:val="both"/>
        <w:rPr>
          <w:rFonts w:ascii="Calibri" w:hAnsi="Calibri" w:cs="Arial"/>
          <w:bCs/>
          <w:color w:val="000000" w:themeColor="text1"/>
          <w:sz w:val="22"/>
          <w:szCs w:val="22"/>
        </w:rPr>
      </w:pPr>
      <w:r w:rsidRPr="003F35F3">
        <w:rPr>
          <w:rFonts w:ascii="Calibri" w:hAnsi="Calibri" w:cs="Arial"/>
          <w:color w:val="000000" w:themeColor="text1"/>
          <w:sz w:val="22"/>
          <w:szCs w:val="22"/>
          <w:lang w:val="en-IE"/>
        </w:rPr>
        <w:t>A comprehensive CV</w:t>
      </w:r>
      <w:r w:rsidR="0082581A" w:rsidRPr="003F35F3">
        <w:rPr>
          <w:rFonts w:ascii="Calibri" w:hAnsi="Calibri" w:cs="Arial"/>
          <w:color w:val="000000" w:themeColor="text1"/>
          <w:sz w:val="22"/>
          <w:szCs w:val="22"/>
          <w:lang w:val="en-IE"/>
        </w:rPr>
        <w:t xml:space="preserve"> (not to exceed 3 pages)</w:t>
      </w:r>
      <w:r w:rsidR="003F35F3">
        <w:rPr>
          <w:rFonts w:ascii="Calibri" w:hAnsi="Calibri" w:cs="Arial"/>
          <w:color w:val="000000" w:themeColor="text1"/>
          <w:sz w:val="22"/>
          <w:szCs w:val="22"/>
          <w:lang w:val="en-IE"/>
        </w:rPr>
        <w:t>.</w:t>
      </w:r>
    </w:p>
    <w:p w14:paraId="4365CDB0" w14:textId="77777777" w:rsidR="003F35F3" w:rsidRPr="003F35F3" w:rsidRDefault="003F35F3" w:rsidP="003F35F3">
      <w:pPr>
        <w:tabs>
          <w:tab w:val="left" w:pos="1701"/>
        </w:tabs>
        <w:spacing w:line="360" w:lineRule="auto"/>
        <w:ind w:left="502" w:right="-32"/>
        <w:jc w:val="both"/>
        <w:rPr>
          <w:rFonts w:ascii="Calibri" w:hAnsi="Calibri" w:cs="Arial"/>
          <w:bCs/>
          <w:color w:val="000000" w:themeColor="text1"/>
          <w:sz w:val="22"/>
          <w:szCs w:val="22"/>
        </w:rPr>
      </w:pPr>
    </w:p>
    <w:p w14:paraId="0D726900" w14:textId="04A27EFA"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3F35F3">
        <w:rPr>
          <w:rFonts w:ascii="Calibri" w:hAnsi="Calibri" w:cs="Arial"/>
          <w:bCs/>
          <w:color w:val="000000" w:themeColor="text1"/>
          <w:sz w:val="22"/>
          <w:szCs w:val="22"/>
        </w:rPr>
        <w:t xml:space="preserve">2 </w:t>
      </w:r>
      <w:r w:rsidRPr="000F2327">
        <w:rPr>
          <w:rFonts w:ascii="Calibri" w:hAnsi="Calibri" w:cs="Arial"/>
          <w:bCs/>
          <w:color w:val="000000" w:themeColor="text1"/>
          <w:sz w:val="22"/>
          <w:szCs w:val="22"/>
        </w:rPr>
        <w:t>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lastRenderedPageBreak/>
        <w:t>Closing Date</w:t>
      </w:r>
    </w:p>
    <w:p w14:paraId="4BED317A" w14:textId="646E1CF6"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E14045" w:rsidRPr="000F2327">
        <w:rPr>
          <w:rFonts w:ascii="Calibri" w:hAnsi="Calibri" w:cs="Arial"/>
          <w:b/>
          <w:color w:val="000000" w:themeColor="text1"/>
          <w:sz w:val="22"/>
          <w:szCs w:val="22"/>
        </w:rPr>
        <w:t xml:space="preserve"> </w:t>
      </w:r>
      <w:r w:rsidR="003F35F3" w:rsidRPr="00EE34D0">
        <w:rPr>
          <w:rFonts w:ascii="Calibri" w:hAnsi="Calibri"/>
          <w:b/>
          <w:spacing w:val="-2"/>
          <w:sz w:val="22"/>
          <w:szCs w:val="22"/>
        </w:rPr>
        <w:t xml:space="preserve">Friday, </w:t>
      </w:r>
      <w:r w:rsidR="003F35F3">
        <w:rPr>
          <w:rFonts w:ascii="Calibri" w:hAnsi="Calibri"/>
          <w:b/>
          <w:spacing w:val="-2"/>
          <w:sz w:val="22"/>
          <w:szCs w:val="22"/>
        </w:rPr>
        <w:t>17</w:t>
      </w:r>
      <w:r w:rsidR="003F35F3" w:rsidRPr="00AE3011">
        <w:rPr>
          <w:rFonts w:ascii="Calibri" w:hAnsi="Calibri"/>
          <w:b/>
          <w:spacing w:val="-2"/>
          <w:sz w:val="22"/>
          <w:szCs w:val="22"/>
          <w:vertAlign w:val="superscript"/>
        </w:rPr>
        <w:t>th</w:t>
      </w:r>
      <w:r w:rsidR="003F35F3">
        <w:rPr>
          <w:rFonts w:ascii="Calibri" w:hAnsi="Calibri"/>
          <w:b/>
          <w:spacing w:val="-2"/>
          <w:sz w:val="22"/>
          <w:szCs w:val="22"/>
        </w:rPr>
        <w:t xml:space="preserve"> May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3C279344"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3F35F3" w:rsidRPr="003F35F3">
        <w:rPr>
          <w:rStyle w:val="Strong"/>
          <w:rFonts w:asciiTheme="minorHAnsi" w:hAnsiTheme="minorHAnsi" w:cstheme="minorHAnsi"/>
        </w:rPr>
        <w:t xml:space="preserve"> </w:t>
      </w:r>
      <w:r w:rsidR="003F35F3" w:rsidRPr="003F35F3">
        <w:rPr>
          <w:rStyle w:val="Strong"/>
          <w:rFonts w:asciiTheme="minorHAnsi" w:hAnsiTheme="minorHAnsi" w:cstheme="minorHAnsi"/>
          <w:sz w:val="22"/>
          <w:szCs w:val="22"/>
        </w:rPr>
        <w:t>ntacareers@rsmireland.ie</w:t>
      </w:r>
      <w:r w:rsidR="00F67F91" w:rsidRPr="003F35F3">
        <w:rPr>
          <w:rFonts w:asciiTheme="minorHAnsi" w:hAnsiTheme="minorHAnsi" w:cstheme="minorHAnsi"/>
          <w:b/>
          <w:smallCaps/>
          <w:sz w:val="22"/>
          <w:szCs w:val="22"/>
          <w:lang w:val="en-IE"/>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tbl>
      <w:tblPr>
        <w:tblStyle w:val="TableGrid"/>
        <w:tblpPr w:leftFromText="180" w:rightFromText="180" w:horzAnchor="margin" w:tblpY="1452"/>
        <w:tblW w:w="10490" w:type="dxa"/>
        <w:tblLook w:val="04A0" w:firstRow="1" w:lastRow="0" w:firstColumn="1" w:lastColumn="0" w:noHBand="0" w:noVBand="1"/>
      </w:tblPr>
      <w:tblGrid>
        <w:gridCol w:w="1843"/>
        <w:gridCol w:w="8647"/>
      </w:tblGrid>
      <w:tr w:rsidR="00663EBE" w:rsidRPr="00345905" w14:paraId="1FC023A5" w14:textId="77777777" w:rsidTr="00663EBE">
        <w:tc>
          <w:tcPr>
            <w:tcW w:w="1843" w:type="dxa"/>
            <w:vMerge w:val="restart"/>
            <w:tcBorders>
              <w:top w:val="nil"/>
              <w:left w:val="nil"/>
              <w:bottom w:val="nil"/>
              <w:right w:val="nil"/>
            </w:tcBorders>
            <w:shd w:val="clear" w:color="auto" w:fill="F79646" w:themeFill="accent6"/>
          </w:tcPr>
          <w:p w14:paraId="112FA439" w14:textId="77777777" w:rsidR="00663EBE" w:rsidRPr="00E2468D"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Team Leadership</w:t>
            </w: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6BBBD3FB"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Works with the team to facilitate high performance, developing clear and realistic objectives and addressing and performance issues if they arise</w:t>
            </w:r>
          </w:p>
        </w:tc>
      </w:tr>
      <w:tr w:rsidR="00663EBE" w:rsidRPr="00345905" w14:paraId="673CD4B4" w14:textId="77777777" w:rsidTr="00663EBE">
        <w:tc>
          <w:tcPr>
            <w:tcW w:w="1843" w:type="dxa"/>
            <w:vMerge/>
            <w:tcBorders>
              <w:top w:val="nil"/>
              <w:left w:val="nil"/>
              <w:bottom w:val="nil"/>
              <w:right w:val="nil"/>
            </w:tcBorders>
            <w:shd w:val="clear" w:color="auto" w:fill="F79646" w:themeFill="accent6"/>
          </w:tcPr>
          <w:p w14:paraId="2924344E" w14:textId="77777777" w:rsidR="00663EBE" w:rsidRPr="00E2468D"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6CF75320"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Provides clear information and advice as to what is required of the</w:t>
            </w:r>
          </w:p>
        </w:tc>
      </w:tr>
      <w:tr w:rsidR="00663EBE" w:rsidRPr="00345905" w14:paraId="4D40121E" w14:textId="77777777" w:rsidTr="00663EBE">
        <w:tc>
          <w:tcPr>
            <w:tcW w:w="1843" w:type="dxa"/>
            <w:vMerge/>
            <w:tcBorders>
              <w:top w:val="nil"/>
              <w:left w:val="nil"/>
              <w:bottom w:val="nil"/>
              <w:right w:val="nil"/>
            </w:tcBorders>
            <w:shd w:val="clear" w:color="auto" w:fill="F79646" w:themeFill="accent6"/>
          </w:tcPr>
          <w:p w14:paraId="23B8F4C1" w14:textId="77777777" w:rsidR="00663EBE" w:rsidRPr="00E2468D"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09925128"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Strives to develop and implement new ways of working effectively to meet objective</w:t>
            </w:r>
            <w:r>
              <w:rPr>
                <w:rFonts w:ascii="Calibri" w:eastAsia="Calibri" w:hAnsi="Calibri" w:cs="Arial"/>
                <w:color w:val="000000"/>
                <w:sz w:val="17"/>
                <w:szCs w:val="17"/>
              </w:rPr>
              <w:t>s</w:t>
            </w:r>
          </w:p>
        </w:tc>
      </w:tr>
      <w:tr w:rsidR="00663EBE" w:rsidRPr="00345905" w14:paraId="600783C3" w14:textId="77777777" w:rsidTr="00663EBE">
        <w:tc>
          <w:tcPr>
            <w:tcW w:w="1843" w:type="dxa"/>
            <w:vMerge/>
            <w:tcBorders>
              <w:top w:val="nil"/>
              <w:left w:val="nil"/>
              <w:bottom w:val="nil"/>
              <w:right w:val="nil"/>
            </w:tcBorders>
            <w:shd w:val="clear" w:color="auto" w:fill="F79646" w:themeFill="accent6"/>
          </w:tcPr>
          <w:p w14:paraId="2E03F7A5" w14:textId="77777777" w:rsidR="00663EBE" w:rsidRPr="00E2468D"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69403A3F"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Leads the team by example, coaching and supporting individuals as required</w:t>
            </w:r>
          </w:p>
        </w:tc>
      </w:tr>
      <w:tr w:rsidR="00663EBE" w:rsidRPr="00345905" w14:paraId="526094E0" w14:textId="77777777" w:rsidTr="00663EBE">
        <w:tc>
          <w:tcPr>
            <w:tcW w:w="1843" w:type="dxa"/>
            <w:vMerge/>
            <w:tcBorders>
              <w:top w:val="nil"/>
              <w:left w:val="nil"/>
              <w:bottom w:val="nil"/>
              <w:right w:val="nil"/>
            </w:tcBorders>
            <w:shd w:val="clear" w:color="auto" w:fill="F79646" w:themeFill="accent6"/>
          </w:tcPr>
          <w:p w14:paraId="1B56B9DE" w14:textId="77777777" w:rsidR="00663EBE" w:rsidRPr="00E2468D"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69252DF2"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team Places high importance on staff development, training and maximising skills &amp; capacity of team</w:t>
            </w:r>
          </w:p>
        </w:tc>
      </w:tr>
      <w:tr w:rsidR="00663EBE" w:rsidRPr="00345905" w14:paraId="69BF46E1" w14:textId="77777777" w:rsidTr="00663EBE">
        <w:tc>
          <w:tcPr>
            <w:tcW w:w="1843" w:type="dxa"/>
            <w:tcBorders>
              <w:top w:val="nil"/>
              <w:left w:val="nil"/>
              <w:bottom w:val="nil"/>
              <w:right w:val="nil"/>
            </w:tcBorders>
            <w:shd w:val="clear" w:color="auto" w:fill="F79646" w:themeFill="accent6"/>
          </w:tcPr>
          <w:p w14:paraId="5E3C27CB" w14:textId="77777777" w:rsidR="00663EBE" w:rsidRPr="00E2468D"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FFFFF"/>
              <w:left w:val="nil"/>
              <w:bottom w:val="single" w:sz="4" w:space="0" w:color="548DD4"/>
              <w:right w:val="single" w:sz="4" w:space="0" w:color="FFFFFF"/>
            </w:tcBorders>
            <w:shd w:val="clear" w:color="auto" w:fill="F2DBDB" w:themeFill="accent2" w:themeFillTint="33"/>
          </w:tcPr>
          <w:p w14:paraId="44CF8F75"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Is flexible and willing to adapt, positively contributing to the implementation of change</w:t>
            </w:r>
          </w:p>
        </w:tc>
      </w:tr>
      <w:tr w:rsidR="00663EBE" w:rsidRPr="00345905" w14:paraId="5C962F2F" w14:textId="77777777" w:rsidTr="00663EBE">
        <w:tc>
          <w:tcPr>
            <w:tcW w:w="1843" w:type="dxa"/>
            <w:vMerge w:val="restart"/>
            <w:tcBorders>
              <w:top w:val="nil"/>
              <w:left w:val="single" w:sz="4" w:space="0" w:color="FFFFFF"/>
              <w:right w:val="single" w:sz="4" w:space="0" w:color="FFFFFF"/>
            </w:tcBorders>
            <w:shd w:val="clear" w:color="auto" w:fill="4F81BD" w:themeFill="accent1"/>
          </w:tcPr>
          <w:p w14:paraId="6A0F1B99"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Judgement, Analysis &amp; Decision Making</w:t>
            </w:r>
          </w:p>
        </w:tc>
        <w:tc>
          <w:tcPr>
            <w:tcW w:w="8647" w:type="dxa"/>
            <w:tcBorders>
              <w:top w:val="single" w:sz="4" w:space="0" w:color="FFFFFF"/>
              <w:left w:val="single" w:sz="4" w:space="0" w:color="FFFFFF"/>
              <w:bottom w:val="single" w:sz="4" w:space="0" w:color="548DD4"/>
              <w:right w:val="single" w:sz="4" w:space="0" w:color="FFFFFF"/>
            </w:tcBorders>
            <w:shd w:val="clear" w:color="auto" w:fill="DBE5F1" w:themeFill="accent1" w:themeFillTint="33"/>
          </w:tcPr>
          <w:p w14:paraId="60A2B211"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Gathers and analyses information from relevant sources, whether financial, numerical or otherwise weighing up a range of critical factors</w:t>
            </w:r>
          </w:p>
        </w:tc>
      </w:tr>
      <w:tr w:rsidR="00663EBE" w:rsidRPr="00345905" w14:paraId="20ED0008" w14:textId="77777777" w:rsidTr="00663EBE">
        <w:tc>
          <w:tcPr>
            <w:tcW w:w="1843" w:type="dxa"/>
            <w:vMerge/>
            <w:tcBorders>
              <w:left w:val="single" w:sz="4" w:space="0" w:color="FFFFFF"/>
              <w:right w:val="single" w:sz="4" w:space="0" w:color="FFFFFF"/>
            </w:tcBorders>
            <w:shd w:val="clear" w:color="auto" w:fill="4F81BD" w:themeFill="accent1"/>
          </w:tcPr>
          <w:p w14:paraId="089D0554"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0AE22689"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Takes account of any broader issues, agendas, sensitivities and related implications when making decisions</w:t>
            </w:r>
          </w:p>
        </w:tc>
      </w:tr>
      <w:tr w:rsidR="00663EBE" w:rsidRPr="00345905" w14:paraId="274A18E4" w14:textId="77777777" w:rsidTr="00663EBE">
        <w:tc>
          <w:tcPr>
            <w:tcW w:w="1843" w:type="dxa"/>
            <w:vMerge/>
            <w:tcBorders>
              <w:left w:val="single" w:sz="4" w:space="0" w:color="FFFFFF"/>
              <w:right w:val="single" w:sz="4" w:space="0" w:color="FFFFFF"/>
            </w:tcBorders>
            <w:shd w:val="clear" w:color="auto" w:fill="4F81BD" w:themeFill="accent1"/>
          </w:tcPr>
          <w:p w14:paraId="3F26F777"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54F071C9"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previous knowledge and experience in order to guide decisions</w:t>
            </w:r>
          </w:p>
        </w:tc>
      </w:tr>
      <w:tr w:rsidR="00663EBE" w:rsidRPr="00345905" w14:paraId="593ECC66" w14:textId="77777777" w:rsidTr="00663EBE">
        <w:tc>
          <w:tcPr>
            <w:tcW w:w="1843" w:type="dxa"/>
            <w:vMerge/>
            <w:tcBorders>
              <w:left w:val="single" w:sz="4" w:space="0" w:color="FFFFFF"/>
              <w:right w:val="single" w:sz="4" w:space="0" w:color="FFFFFF"/>
            </w:tcBorders>
            <w:shd w:val="clear" w:color="auto" w:fill="4F81BD" w:themeFill="accent1"/>
          </w:tcPr>
          <w:p w14:paraId="60A9B9BE"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tcPr>
          <w:p w14:paraId="6A47A2D6"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535891">
              <w:rPr>
                <w:rFonts w:ascii="Calibri" w:eastAsia="Calibri" w:hAnsi="Calibri" w:cs="Arial"/>
                <w:color w:val="000000"/>
                <w:sz w:val="17"/>
                <w:szCs w:val="17"/>
              </w:rPr>
              <w:t>Uses judgement to make sound decisions with a well-reasoned rationale and stands by these</w:t>
            </w:r>
          </w:p>
        </w:tc>
      </w:tr>
      <w:tr w:rsidR="00663EBE" w:rsidRPr="00345905" w14:paraId="20B301F7" w14:textId="77777777" w:rsidTr="00663EBE">
        <w:tc>
          <w:tcPr>
            <w:tcW w:w="1843" w:type="dxa"/>
            <w:vMerge/>
            <w:tcBorders>
              <w:left w:val="single" w:sz="4" w:space="0" w:color="FFFFFF"/>
              <w:bottom w:val="nil"/>
              <w:right w:val="single" w:sz="4" w:space="0" w:color="FFFFFF"/>
            </w:tcBorders>
            <w:shd w:val="clear" w:color="auto" w:fill="4F81BD" w:themeFill="accent1"/>
          </w:tcPr>
          <w:p w14:paraId="59344B08"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BE5F1" w:themeFill="accent1" w:themeFillTint="33"/>
          </w:tcPr>
          <w:p w14:paraId="462F53EA"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Puts forward solutions to address problems</w:t>
            </w:r>
          </w:p>
        </w:tc>
      </w:tr>
      <w:tr w:rsidR="00663EBE" w:rsidRPr="00345905" w14:paraId="0646B1DB" w14:textId="77777777" w:rsidTr="00663EBE">
        <w:tc>
          <w:tcPr>
            <w:tcW w:w="1843" w:type="dxa"/>
            <w:vMerge w:val="restart"/>
            <w:tcBorders>
              <w:top w:val="nil"/>
              <w:left w:val="nil"/>
              <w:right w:val="nil"/>
            </w:tcBorders>
            <w:shd w:val="clear" w:color="auto" w:fill="C0504D"/>
          </w:tcPr>
          <w:p w14:paraId="0E5F1EED"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Management &amp; Delivery of Results</w:t>
            </w:r>
          </w:p>
        </w:tc>
        <w:tc>
          <w:tcPr>
            <w:tcW w:w="8647" w:type="dxa"/>
            <w:tcBorders>
              <w:top w:val="single" w:sz="4" w:space="0" w:color="FFFFFF"/>
              <w:left w:val="nil"/>
              <w:bottom w:val="single" w:sz="4" w:space="0" w:color="D99594"/>
              <w:right w:val="single" w:sz="4" w:space="0" w:color="FFFFFF"/>
            </w:tcBorders>
            <w:shd w:val="clear" w:color="auto" w:fill="F2DBDB"/>
          </w:tcPr>
          <w:p w14:paraId="7232146E"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Takes responsibility and is accountable for the delivery of agreed objectives</w:t>
            </w:r>
          </w:p>
        </w:tc>
      </w:tr>
      <w:tr w:rsidR="00663EBE" w:rsidRPr="00345905" w14:paraId="205DF5B2" w14:textId="77777777" w:rsidTr="00663EBE">
        <w:tc>
          <w:tcPr>
            <w:tcW w:w="1843" w:type="dxa"/>
            <w:vMerge/>
            <w:tcBorders>
              <w:left w:val="nil"/>
              <w:right w:val="nil"/>
            </w:tcBorders>
            <w:shd w:val="clear" w:color="auto" w:fill="C0504D"/>
          </w:tcPr>
          <w:p w14:paraId="6121D5A1"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6A0D6EBB"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Successfully manages a range of different projects and work activities at the same time</w:t>
            </w:r>
          </w:p>
        </w:tc>
      </w:tr>
      <w:tr w:rsidR="00663EBE" w:rsidRPr="00345905" w14:paraId="3E348ED9" w14:textId="77777777" w:rsidTr="00663EBE">
        <w:tc>
          <w:tcPr>
            <w:tcW w:w="1843" w:type="dxa"/>
            <w:vMerge/>
            <w:tcBorders>
              <w:left w:val="nil"/>
              <w:right w:val="nil"/>
            </w:tcBorders>
            <w:shd w:val="clear" w:color="auto" w:fill="C0504D"/>
          </w:tcPr>
          <w:p w14:paraId="4FA76782"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643AC8C1"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Structures and organises their own and others work effectively</w:t>
            </w:r>
          </w:p>
        </w:tc>
      </w:tr>
      <w:tr w:rsidR="00663EBE" w:rsidRPr="00345905" w14:paraId="3B138A62" w14:textId="77777777" w:rsidTr="00663EBE">
        <w:tc>
          <w:tcPr>
            <w:tcW w:w="1843" w:type="dxa"/>
            <w:vMerge/>
            <w:tcBorders>
              <w:left w:val="nil"/>
              <w:right w:val="nil"/>
            </w:tcBorders>
            <w:shd w:val="clear" w:color="auto" w:fill="C0504D"/>
          </w:tcPr>
          <w:p w14:paraId="0158E28B"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49F79B74"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logical and pragmatic in approach, delivering the best possible results with the resources available</w:t>
            </w:r>
          </w:p>
        </w:tc>
      </w:tr>
      <w:tr w:rsidR="00663EBE" w:rsidRPr="00345905" w14:paraId="60B6D24D" w14:textId="77777777" w:rsidTr="00663EBE">
        <w:tc>
          <w:tcPr>
            <w:tcW w:w="1843" w:type="dxa"/>
            <w:vMerge/>
            <w:tcBorders>
              <w:left w:val="nil"/>
              <w:right w:val="nil"/>
            </w:tcBorders>
            <w:shd w:val="clear" w:color="auto" w:fill="C0504D"/>
          </w:tcPr>
          <w:p w14:paraId="77B09D5A"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4D917809"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Delegates work effectively, providing clear information and evidence as to what is required</w:t>
            </w:r>
          </w:p>
        </w:tc>
      </w:tr>
      <w:tr w:rsidR="00663EBE" w:rsidRPr="00345905" w14:paraId="7D1F269C" w14:textId="77777777" w:rsidTr="00663EBE">
        <w:tc>
          <w:tcPr>
            <w:tcW w:w="1843" w:type="dxa"/>
            <w:vMerge/>
            <w:tcBorders>
              <w:left w:val="nil"/>
              <w:right w:val="nil"/>
            </w:tcBorders>
            <w:shd w:val="clear" w:color="auto" w:fill="C0504D"/>
          </w:tcPr>
          <w:p w14:paraId="60AEB66D"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tcPr>
          <w:p w14:paraId="2999675D"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Proactively identifies areas for improvement and develops practical suggestions for their implementation</w:t>
            </w:r>
          </w:p>
        </w:tc>
      </w:tr>
      <w:tr w:rsidR="00663EBE" w:rsidRPr="00345905" w14:paraId="200A8CAE" w14:textId="77777777" w:rsidTr="00663EBE">
        <w:tc>
          <w:tcPr>
            <w:tcW w:w="1843" w:type="dxa"/>
            <w:vMerge/>
            <w:tcBorders>
              <w:left w:val="nil"/>
              <w:right w:val="nil"/>
            </w:tcBorders>
            <w:shd w:val="clear" w:color="auto" w:fill="C0504D"/>
          </w:tcPr>
          <w:p w14:paraId="2F1927FB"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731FA504"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enthusiasm for new developments/changing work practices and strives to implement these</w:t>
            </w:r>
          </w:p>
        </w:tc>
      </w:tr>
      <w:tr w:rsidR="00663EBE" w:rsidRPr="00345905" w14:paraId="10C67A24" w14:textId="77777777" w:rsidTr="00663EBE">
        <w:tc>
          <w:tcPr>
            <w:tcW w:w="1843" w:type="dxa"/>
            <w:vMerge/>
            <w:tcBorders>
              <w:left w:val="nil"/>
              <w:right w:val="nil"/>
            </w:tcBorders>
            <w:shd w:val="clear" w:color="auto" w:fill="C0504D"/>
          </w:tcPr>
          <w:p w14:paraId="4FC3BD5C"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tcPr>
          <w:p w14:paraId="23445D92"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Applies appropriate systems/ processes to enable quality checking of all activities and outputs</w:t>
            </w:r>
          </w:p>
        </w:tc>
      </w:tr>
      <w:tr w:rsidR="00663EBE" w:rsidRPr="00345905" w14:paraId="52C7DCA2" w14:textId="77777777" w:rsidTr="00663EBE">
        <w:tc>
          <w:tcPr>
            <w:tcW w:w="1843" w:type="dxa"/>
            <w:vMerge/>
            <w:tcBorders>
              <w:left w:val="single" w:sz="4" w:space="0" w:color="FFFFFF"/>
              <w:bottom w:val="nil"/>
              <w:right w:val="single" w:sz="4" w:space="0" w:color="FFFFFF"/>
            </w:tcBorders>
            <w:shd w:val="clear" w:color="auto" w:fill="C0504D"/>
          </w:tcPr>
          <w:p w14:paraId="29487139"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single" w:sz="4" w:space="0" w:color="FFFFFF"/>
              <w:bottom w:val="single" w:sz="4" w:space="0" w:color="FFFFFF"/>
              <w:right w:val="single" w:sz="4" w:space="0" w:color="FFFFFF"/>
            </w:tcBorders>
            <w:shd w:val="clear" w:color="auto" w:fill="F2DBDB"/>
          </w:tcPr>
          <w:p w14:paraId="5B2C6FBF"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Practices and promotes a strong focus on delivering high quality customer service, for internal and external customers</w:t>
            </w:r>
          </w:p>
        </w:tc>
      </w:tr>
      <w:tr w:rsidR="00663EBE" w:rsidRPr="00345905" w14:paraId="69B82523" w14:textId="77777777" w:rsidTr="00663EBE">
        <w:tc>
          <w:tcPr>
            <w:tcW w:w="1843" w:type="dxa"/>
            <w:vMerge w:val="restart"/>
            <w:tcBorders>
              <w:top w:val="nil"/>
              <w:left w:val="nil"/>
              <w:right w:val="nil"/>
            </w:tcBorders>
            <w:shd w:val="clear" w:color="auto" w:fill="4BACC6"/>
          </w:tcPr>
          <w:p w14:paraId="5868226B"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Interpersonal &amp; Communication Skills</w:t>
            </w:r>
          </w:p>
        </w:tc>
        <w:tc>
          <w:tcPr>
            <w:tcW w:w="8647" w:type="dxa"/>
            <w:tcBorders>
              <w:top w:val="single" w:sz="4" w:space="0" w:color="FFFFFF"/>
              <w:left w:val="nil"/>
              <w:bottom w:val="single" w:sz="4" w:space="0" w:color="92CDDC"/>
              <w:right w:val="single" w:sz="4" w:space="0" w:color="FFFFFF"/>
            </w:tcBorders>
            <w:shd w:val="clear" w:color="auto" w:fill="C6FAF5"/>
          </w:tcPr>
          <w:p w14:paraId="2DFD4E78"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Builds and maintains contact with colleagues and other stakeholders to assist in performing role</w:t>
            </w:r>
          </w:p>
        </w:tc>
      </w:tr>
      <w:tr w:rsidR="00663EBE" w:rsidRPr="00345905" w14:paraId="34277BBD" w14:textId="77777777" w:rsidTr="00663EBE">
        <w:tc>
          <w:tcPr>
            <w:tcW w:w="1843" w:type="dxa"/>
            <w:vMerge/>
            <w:tcBorders>
              <w:left w:val="nil"/>
              <w:right w:val="nil"/>
            </w:tcBorders>
            <w:shd w:val="clear" w:color="auto" w:fill="4BACC6"/>
          </w:tcPr>
          <w:p w14:paraId="58759DDC"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3335DB36"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Acts as an effective link between staff and senior management</w:t>
            </w:r>
          </w:p>
        </w:tc>
      </w:tr>
      <w:tr w:rsidR="00663EBE" w:rsidRPr="00345905" w14:paraId="43F5691C" w14:textId="77777777" w:rsidTr="00663EBE">
        <w:tc>
          <w:tcPr>
            <w:tcW w:w="1843" w:type="dxa"/>
            <w:vMerge/>
            <w:tcBorders>
              <w:left w:val="nil"/>
              <w:right w:val="nil"/>
            </w:tcBorders>
            <w:shd w:val="clear" w:color="auto" w:fill="4BACC6"/>
          </w:tcPr>
          <w:p w14:paraId="69C2C252"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6FA5BA9F"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Encourages open and constructive discussions around work issues</w:t>
            </w:r>
          </w:p>
        </w:tc>
      </w:tr>
      <w:tr w:rsidR="00663EBE" w:rsidRPr="00345905" w14:paraId="7901C3D4" w14:textId="77777777" w:rsidTr="00663EBE">
        <w:tc>
          <w:tcPr>
            <w:tcW w:w="1843" w:type="dxa"/>
            <w:vMerge/>
            <w:tcBorders>
              <w:left w:val="nil"/>
              <w:right w:val="nil"/>
            </w:tcBorders>
            <w:shd w:val="clear" w:color="auto" w:fill="4BACC6"/>
          </w:tcPr>
          <w:p w14:paraId="38CE410C"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5BA23616"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Projects conviction, gaining buy-in by outlining relevant information and selling the benefits</w:t>
            </w:r>
          </w:p>
        </w:tc>
      </w:tr>
      <w:tr w:rsidR="00663EBE" w:rsidRPr="00345905" w14:paraId="78C93680" w14:textId="77777777" w:rsidTr="00663EBE">
        <w:tc>
          <w:tcPr>
            <w:tcW w:w="1843" w:type="dxa"/>
            <w:vMerge/>
            <w:tcBorders>
              <w:left w:val="nil"/>
              <w:right w:val="nil"/>
            </w:tcBorders>
            <w:shd w:val="clear" w:color="auto" w:fill="4BACC6"/>
          </w:tcPr>
          <w:p w14:paraId="53C2940D"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6AB69042"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Treats others with diplomacy, tact, courtesy and respect, even in challenging circumstances</w:t>
            </w:r>
          </w:p>
        </w:tc>
      </w:tr>
      <w:tr w:rsidR="00663EBE" w:rsidRPr="00345905" w14:paraId="7309C6A7" w14:textId="77777777" w:rsidTr="00663EBE">
        <w:tc>
          <w:tcPr>
            <w:tcW w:w="1843" w:type="dxa"/>
            <w:vMerge/>
            <w:tcBorders>
              <w:left w:val="nil"/>
              <w:right w:val="nil"/>
            </w:tcBorders>
            <w:shd w:val="clear" w:color="auto" w:fill="4BACC6"/>
          </w:tcPr>
          <w:p w14:paraId="5A3CB65F"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662D4DAD"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Presents information clearly, concisely and confidently when speaking and in writing</w:t>
            </w:r>
          </w:p>
        </w:tc>
      </w:tr>
      <w:tr w:rsidR="00663EBE" w:rsidRPr="00345905" w14:paraId="23EB7CC5" w14:textId="77777777" w:rsidTr="00663EBE">
        <w:tc>
          <w:tcPr>
            <w:tcW w:w="1843" w:type="dxa"/>
            <w:vMerge/>
            <w:tcBorders>
              <w:left w:val="nil"/>
              <w:bottom w:val="nil"/>
              <w:right w:val="nil"/>
            </w:tcBorders>
            <w:shd w:val="clear" w:color="auto" w:fill="4BACC6"/>
          </w:tcPr>
          <w:p w14:paraId="5916E895"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tcPr>
          <w:p w14:paraId="5EE575F7"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796B4F">
              <w:rPr>
                <w:rFonts w:ascii="Calibri" w:eastAsia="Calibri" w:hAnsi="Calibri" w:cs="Arial"/>
                <w:color w:val="000000"/>
                <w:sz w:val="17"/>
                <w:szCs w:val="17"/>
              </w:rPr>
              <w:t>Collaborates and supports colleagues to achieve organisational goals</w:t>
            </w:r>
          </w:p>
        </w:tc>
      </w:tr>
      <w:tr w:rsidR="00663EBE" w:rsidRPr="00345905" w14:paraId="6720662A" w14:textId="77777777" w:rsidTr="00663EBE">
        <w:trPr>
          <w:trHeight w:val="547"/>
        </w:trPr>
        <w:tc>
          <w:tcPr>
            <w:tcW w:w="1843" w:type="dxa"/>
            <w:vMerge w:val="restart"/>
            <w:tcBorders>
              <w:top w:val="nil"/>
              <w:left w:val="single" w:sz="4" w:space="0" w:color="FFFFFF"/>
              <w:right w:val="single" w:sz="4" w:space="0" w:color="FFFFFF"/>
            </w:tcBorders>
            <w:shd w:val="clear" w:color="auto" w:fill="9BBB59"/>
          </w:tcPr>
          <w:p w14:paraId="1C1E4498"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Specialist Knowledge, Expertise and Self Development</w:t>
            </w:r>
          </w:p>
        </w:tc>
        <w:tc>
          <w:tcPr>
            <w:tcW w:w="8647" w:type="dxa"/>
            <w:tcBorders>
              <w:top w:val="single" w:sz="4" w:space="0" w:color="FFFFFF"/>
              <w:left w:val="single" w:sz="4" w:space="0" w:color="FFFFFF"/>
              <w:bottom w:val="single" w:sz="4" w:space="0" w:color="C2D69B"/>
              <w:right w:val="single" w:sz="4" w:space="0" w:color="FFFFFF"/>
            </w:tcBorders>
            <w:shd w:val="clear" w:color="auto" w:fill="EAF1DD"/>
          </w:tcPr>
          <w:p w14:paraId="503A4971"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a clear understanding of the roles, objectives and targets of self and team and how they fit into the work of the unit and Department/ Organisation and effectively communicates this to others</w:t>
            </w:r>
          </w:p>
        </w:tc>
      </w:tr>
      <w:tr w:rsidR="00663EBE" w:rsidRPr="00345905" w14:paraId="262A62C0" w14:textId="77777777" w:rsidTr="00663EBE">
        <w:trPr>
          <w:trHeight w:val="428"/>
        </w:trPr>
        <w:tc>
          <w:tcPr>
            <w:tcW w:w="1843" w:type="dxa"/>
            <w:vMerge/>
            <w:tcBorders>
              <w:left w:val="single" w:sz="4" w:space="0" w:color="FFFFFF"/>
              <w:right w:val="single" w:sz="4" w:space="0" w:color="FFFFFF"/>
            </w:tcBorders>
            <w:shd w:val="clear" w:color="auto" w:fill="9BBB59"/>
          </w:tcPr>
          <w:p w14:paraId="60FC4B99"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tcPr>
          <w:p w14:paraId="49ED0D77"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Has high levels of expertise and broad Public Sector knowledge relevant to his/her area of work</w:t>
            </w:r>
          </w:p>
        </w:tc>
      </w:tr>
      <w:tr w:rsidR="00663EBE" w:rsidRPr="00345905" w14:paraId="6AFB158E" w14:textId="77777777" w:rsidTr="00663EBE">
        <w:tc>
          <w:tcPr>
            <w:tcW w:w="1843" w:type="dxa"/>
            <w:vMerge/>
            <w:tcBorders>
              <w:left w:val="single" w:sz="4" w:space="0" w:color="FFFFFF"/>
              <w:bottom w:val="single" w:sz="4" w:space="0" w:color="FFFFFF"/>
              <w:right w:val="single" w:sz="4" w:space="0" w:color="FFFFFF"/>
            </w:tcBorders>
            <w:shd w:val="clear" w:color="auto" w:fill="9BBB59"/>
          </w:tcPr>
          <w:p w14:paraId="431B3565"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FFFFFF"/>
              <w:right w:val="single" w:sz="4" w:space="0" w:color="FFFFFF"/>
            </w:tcBorders>
            <w:shd w:val="clear" w:color="auto" w:fill="EAF1DD"/>
          </w:tcPr>
          <w:p w14:paraId="05DC2EC6"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 xml:space="preserve">Focuses on </w:t>
            </w:r>
            <w:proofErr w:type="spellStart"/>
            <w:r w:rsidRPr="00345905">
              <w:rPr>
                <w:rFonts w:ascii="Calibri" w:eastAsia="Calibri" w:hAnsi="Calibri" w:cs="Arial"/>
                <w:color w:val="000000"/>
                <w:sz w:val="17"/>
                <w:szCs w:val="17"/>
              </w:rPr>
              <w:t>self development</w:t>
            </w:r>
            <w:proofErr w:type="spellEnd"/>
            <w:r w:rsidRPr="00345905">
              <w:rPr>
                <w:rFonts w:ascii="Calibri" w:eastAsia="Calibri" w:hAnsi="Calibri" w:cs="Arial"/>
                <w:color w:val="000000"/>
                <w:sz w:val="17"/>
                <w:szCs w:val="17"/>
              </w:rPr>
              <w:t xml:space="preserve">, striving to improve performance </w:t>
            </w:r>
          </w:p>
        </w:tc>
      </w:tr>
      <w:tr w:rsidR="00663EBE" w:rsidRPr="00345905" w14:paraId="211E870A" w14:textId="77777777" w:rsidTr="00663EBE">
        <w:tc>
          <w:tcPr>
            <w:tcW w:w="1843" w:type="dxa"/>
            <w:vMerge w:val="restart"/>
            <w:tcBorders>
              <w:top w:val="single" w:sz="4" w:space="0" w:color="FFFFFF"/>
              <w:left w:val="single" w:sz="4" w:space="0" w:color="FFFFFF"/>
              <w:right w:val="single" w:sz="4" w:space="0" w:color="FFFFFF"/>
            </w:tcBorders>
            <w:shd w:val="clear" w:color="auto" w:fill="8064A2"/>
          </w:tcPr>
          <w:p w14:paraId="3D76C832"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FFFFFF"/>
                <w:szCs w:val="32"/>
              </w:rPr>
            </w:pPr>
            <w:r w:rsidRPr="00345905">
              <w:rPr>
                <w:rFonts w:ascii="Calibri" w:eastAsia="Calibri" w:hAnsi="Calibri" w:cs="Arial"/>
                <w:b/>
                <w:color w:val="FFFFFF"/>
                <w:szCs w:val="32"/>
              </w:rPr>
              <w:t>Drive &amp; Commitment to Public Service Values</w:t>
            </w:r>
          </w:p>
        </w:tc>
        <w:tc>
          <w:tcPr>
            <w:tcW w:w="8647" w:type="dxa"/>
            <w:tcBorders>
              <w:top w:val="single" w:sz="4" w:space="0" w:color="FFFFFF"/>
              <w:left w:val="single" w:sz="4" w:space="0" w:color="FFFFFF"/>
              <w:bottom w:val="single" w:sz="4" w:space="0" w:color="B2A1C7"/>
              <w:right w:val="single" w:sz="4" w:space="0" w:color="FFFFFF"/>
            </w:tcBorders>
            <w:shd w:val="clear" w:color="auto" w:fill="E5DFEC"/>
          </w:tcPr>
          <w:p w14:paraId="10EAF751"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Strives to perform at a high level, investing significant energy to achieve agreed objectives</w:t>
            </w:r>
          </w:p>
        </w:tc>
      </w:tr>
      <w:tr w:rsidR="00663EBE" w:rsidRPr="00345905" w14:paraId="14EE1FB7" w14:textId="77777777" w:rsidTr="00663EBE">
        <w:tc>
          <w:tcPr>
            <w:tcW w:w="1843" w:type="dxa"/>
            <w:vMerge/>
            <w:tcBorders>
              <w:left w:val="single" w:sz="4" w:space="0" w:color="FFFFFF"/>
              <w:right w:val="single" w:sz="4" w:space="0" w:color="FFFFFF"/>
            </w:tcBorders>
            <w:shd w:val="clear" w:color="auto" w:fill="8064A2"/>
          </w:tcPr>
          <w:p w14:paraId="2B2F4F58"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5103AC19"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Demonstrates resilience in the face of challenging circumstances and high demands</w:t>
            </w:r>
          </w:p>
        </w:tc>
      </w:tr>
      <w:tr w:rsidR="00663EBE" w:rsidRPr="00345905" w14:paraId="689D2168" w14:textId="77777777" w:rsidTr="00663EBE">
        <w:tc>
          <w:tcPr>
            <w:tcW w:w="1843" w:type="dxa"/>
            <w:vMerge/>
            <w:tcBorders>
              <w:left w:val="single" w:sz="4" w:space="0" w:color="FFFFFF"/>
              <w:right w:val="single" w:sz="4" w:space="0" w:color="FFFFFF"/>
            </w:tcBorders>
            <w:shd w:val="clear" w:color="auto" w:fill="8064A2"/>
          </w:tcPr>
          <w:p w14:paraId="0E4360C9"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49E4C66D"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Is personally trustworthy and can be relied upon</w:t>
            </w:r>
          </w:p>
        </w:tc>
      </w:tr>
      <w:tr w:rsidR="00663EBE" w:rsidRPr="00345905" w14:paraId="525AE9AF" w14:textId="77777777" w:rsidTr="00663EBE">
        <w:tc>
          <w:tcPr>
            <w:tcW w:w="1843" w:type="dxa"/>
            <w:vMerge/>
            <w:tcBorders>
              <w:left w:val="single" w:sz="4" w:space="0" w:color="FFFFFF"/>
              <w:right w:val="single" w:sz="4" w:space="0" w:color="FFFFFF"/>
            </w:tcBorders>
            <w:shd w:val="clear" w:color="auto" w:fill="8064A2"/>
          </w:tcPr>
          <w:p w14:paraId="6F177C81"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73104604"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Ensures that customers are at the heart of all services provided</w:t>
            </w:r>
          </w:p>
        </w:tc>
      </w:tr>
      <w:tr w:rsidR="00663EBE" w:rsidRPr="00345905" w14:paraId="0670BAAB" w14:textId="77777777" w:rsidTr="00663EBE">
        <w:tc>
          <w:tcPr>
            <w:tcW w:w="1843" w:type="dxa"/>
            <w:vMerge/>
            <w:tcBorders>
              <w:left w:val="single" w:sz="4" w:space="0" w:color="FFFFFF"/>
              <w:right w:val="single" w:sz="4" w:space="0" w:color="FFFFFF"/>
            </w:tcBorders>
            <w:shd w:val="clear" w:color="auto" w:fill="8064A2"/>
          </w:tcPr>
          <w:p w14:paraId="04C3BD83" w14:textId="77777777" w:rsidR="00663EBE" w:rsidRPr="00345905" w:rsidRDefault="00663EBE" w:rsidP="00663EBE">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tcPr>
          <w:p w14:paraId="644A0362" w14:textId="77777777" w:rsidR="00663EBE" w:rsidRPr="00345905" w:rsidRDefault="00663EBE" w:rsidP="00663EB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345905">
              <w:rPr>
                <w:rFonts w:ascii="Calibri" w:eastAsia="Calibri" w:hAnsi="Calibri" w:cs="Arial"/>
                <w:color w:val="000000"/>
                <w:sz w:val="17"/>
                <w:szCs w:val="17"/>
              </w:rPr>
              <w:t>Upholds high standards of honesty, ethics and integrity</w:t>
            </w:r>
          </w:p>
        </w:tc>
      </w:tr>
    </w:tbl>
    <w:p w14:paraId="1687618F" w14:textId="5E1F0FA5" w:rsidR="00F67F91" w:rsidRPr="000F2327" w:rsidRDefault="00663EBE" w:rsidP="006B20D8">
      <w:pPr>
        <w:spacing w:line="360" w:lineRule="auto"/>
        <w:ind w:right="-32"/>
        <w:jc w:val="center"/>
        <w:rPr>
          <w:rFonts w:ascii="Calibri" w:eastAsia="Calibri" w:hAnsi="Calibri" w:cs="Arial"/>
          <w:b/>
          <w:color w:val="000000" w:themeColor="text1"/>
          <w:sz w:val="32"/>
          <w:szCs w:val="32"/>
          <w:highlight w:val="yellow"/>
        </w:rPr>
      </w:pPr>
      <w:r>
        <w:rPr>
          <w:rFonts w:asciiTheme="minorHAnsi" w:eastAsia="Calibri" w:hAnsiTheme="minorHAnsi" w:cstheme="minorHAnsi"/>
          <w:b/>
          <w:color w:val="000000" w:themeColor="text1"/>
          <w:sz w:val="32"/>
          <w:szCs w:val="32"/>
          <w:lang w:val="en-IE"/>
        </w:rPr>
        <w:t>Senior Customer Experience Officer (Panel) -</w:t>
      </w:r>
      <w:r w:rsidR="006B20D8">
        <w:rPr>
          <w:rFonts w:asciiTheme="minorHAnsi" w:eastAsia="Calibri" w:hAnsiTheme="minorHAnsi" w:cstheme="minorHAnsi"/>
          <w:b/>
          <w:color w:val="000000" w:themeColor="text1"/>
          <w:sz w:val="32"/>
          <w:szCs w:val="32"/>
          <w:lang w:val="en-IE"/>
        </w:rPr>
        <w:t xml:space="preserve"> </w:t>
      </w:r>
      <w:r w:rsidRPr="00D75834">
        <w:rPr>
          <w:rFonts w:asciiTheme="minorHAnsi" w:eastAsia="Calibri" w:hAnsiTheme="minorHAnsi" w:cstheme="minorHAnsi"/>
          <w:b/>
          <w:color w:val="000000" w:themeColor="text1"/>
          <w:sz w:val="32"/>
          <w:szCs w:val="32"/>
          <w:lang w:val="en-IE"/>
        </w:rPr>
        <w:t>Key Competencies</w:t>
      </w:r>
    </w:p>
    <w:sectPr w:rsidR="00F67F91" w:rsidRPr="000F2327" w:rsidSect="0031357E">
      <w:headerReference w:type="default" r:id="rId10"/>
      <w:footerReference w:type="even" r:id="rId11"/>
      <w:footerReference w:type="default" r:id="rId12"/>
      <w:footerReference w:type="first" r:id="rId13"/>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DCFF" w14:textId="2F501069" w:rsidR="0031357E" w:rsidRPr="003C3DA7" w:rsidRDefault="003C3DA7" w:rsidP="00584379">
    <w:pPr>
      <w:jc w:val="center"/>
      <w:rPr>
        <w:rFonts w:cs="Arial"/>
        <w:b/>
        <w:bCs/>
        <w:spacing w:val="-2"/>
        <w:sz w:val="16"/>
        <w:szCs w:val="16"/>
        <w:lang w:val="en-IE"/>
      </w:rPr>
    </w:pPr>
    <w:r w:rsidRPr="003C3DA7">
      <w:rPr>
        <w:rFonts w:cs="Arial"/>
        <w:b/>
        <w:bCs/>
        <w:color w:val="000000" w:themeColor="text1"/>
        <w:sz w:val="16"/>
        <w:szCs w:val="16"/>
      </w:rPr>
      <w:t>Senior Customer Experience Officer</w:t>
    </w:r>
  </w:p>
  <w:p w14:paraId="6E9B1E0B" w14:textId="77777777" w:rsidR="0031357E" w:rsidRPr="003C3DA7" w:rsidRDefault="0031357E" w:rsidP="00584379">
    <w:pPr>
      <w:jc w:val="center"/>
      <w:rPr>
        <w:rFonts w:cs="Arial"/>
        <w:b/>
        <w:bCs/>
        <w:sz w:val="16"/>
        <w:szCs w:val="16"/>
        <w:lang w:val="en-IE"/>
      </w:rPr>
    </w:pPr>
    <w:r w:rsidRPr="003C3DA7">
      <w:rPr>
        <w:rFonts w:cs="Arial"/>
        <w:b/>
        <w:bCs/>
        <w:spacing w:val="-2"/>
        <w:sz w:val="16"/>
        <w:szCs w:val="16"/>
        <w:lang w:val="en-IE"/>
      </w:rPr>
      <w:t>National 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35BC602F" w:rsidR="0031357E" w:rsidRDefault="0031357E">
    <w:pPr>
      <w:pStyle w:val="Header"/>
      <w:jc w:val="right"/>
    </w:pPr>
    <w:r>
      <w:fldChar w:fldCharType="begin"/>
    </w:r>
    <w:r>
      <w:instrText xml:space="preserve"> PAGE   \* MERGEFORMAT </w:instrText>
    </w:r>
    <w:r>
      <w:fldChar w:fldCharType="separate"/>
    </w:r>
    <w:r w:rsidR="006B20D8">
      <w:rPr>
        <w:noProof/>
      </w:rPr>
      <w:t>4</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1902A9F"/>
    <w:multiLevelType w:val="hybridMultilevel"/>
    <w:tmpl w:val="E70085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BB51D0"/>
    <w:multiLevelType w:val="hybridMultilevel"/>
    <w:tmpl w:val="E70085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9"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42DA6A01"/>
    <w:multiLevelType w:val="hybridMultilevel"/>
    <w:tmpl w:val="E70085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5A0C44E9"/>
    <w:multiLevelType w:val="hybridMultilevel"/>
    <w:tmpl w:val="B2E45334"/>
    <w:lvl w:ilvl="0" w:tplc="18090001">
      <w:start w:val="1"/>
      <w:numFmt w:val="bullet"/>
      <w:lvlText w:val=""/>
      <w:lvlJc w:val="left"/>
      <w:pPr>
        <w:ind w:left="2502" w:hanging="360"/>
      </w:pPr>
      <w:rPr>
        <w:rFonts w:ascii="Symbol" w:hAnsi="Symbol" w:hint="default"/>
      </w:rPr>
    </w:lvl>
    <w:lvl w:ilvl="1" w:tplc="18090003" w:tentative="1">
      <w:start w:val="1"/>
      <w:numFmt w:val="bullet"/>
      <w:lvlText w:val="o"/>
      <w:lvlJc w:val="left"/>
      <w:pPr>
        <w:ind w:left="3222" w:hanging="360"/>
      </w:pPr>
      <w:rPr>
        <w:rFonts w:ascii="Courier New" w:hAnsi="Courier New" w:cs="Courier New" w:hint="default"/>
      </w:rPr>
    </w:lvl>
    <w:lvl w:ilvl="2" w:tplc="18090005" w:tentative="1">
      <w:start w:val="1"/>
      <w:numFmt w:val="bullet"/>
      <w:lvlText w:val=""/>
      <w:lvlJc w:val="left"/>
      <w:pPr>
        <w:ind w:left="3942" w:hanging="360"/>
      </w:pPr>
      <w:rPr>
        <w:rFonts w:ascii="Wingdings" w:hAnsi="Wingdings" w:hint="default"/>
      </w:rPr>
    </w:lvl>
    <w:lvl w:ilvl="3" w:tplc="18090001" w:tentative="1">
      <w:start w:val="1"/>
      <w:numFmt w:val="bullet"/>
      <w:lvlText w:val=""/>
      <w:lvlJc w:val="left"/>
      <w:pPr>
        <w:ind w:left="4662" w:hanging="360"/>
      </w:pPr>
      <w:rPr>
        <w:rFonts w:ascii="Symbol" w:hAnsi="Symbol" w:hint="default"/>
      </w:rPr>
    </w:lvl>
    <w:lvl w:ilvl="4" w:tplc="18090003" w:tentative="1">
      <w:start w:val="1"/>
      <w:numFmt w:val="bullet"/>
      <w:lvlText w:val="o"/>
      <w:lvlJc w:val="left"/>
      <w:pPr>
        <w:ind w:left="5382" w:hanging="360"/>
      </w:pPr>
      <w:rPr>
        <w:rFonts w:ascii="Courier New" w:hAnsi="Courier New" w:cs="Courier New" w:hint="default"/>
      </w:rPr>
    </w:lvl>
    <w:lvl w:ilvl="5" w:tplc="18090005" w:tentative="1">
      <w:start w:val="1"/>
      <w:numFmt w:val="bullet"/>
      <w:lvlText w:val=""/>
      <w:lvlJc w:val="left"/>
      <w:pPr>
        <w:ind w:left="6102" w:hanging="360"/>
      </w:pPr>
      <w:rPr>
        <w:rFonts w:ascii="Wingdings" w:hAnsi="Wingdings" w:hint="default"/>
      </w:rPr>
    </w:lvl>
    <w:lvl w:ilvl="6" w:tplc="18090001" w:tentative="1">
      <w:start w:val="1"/>
      <w:numFmt w:val="bullet"/>
      <w:lvlText w:val=""/>
      <w:lvlJc w:val="left"/>
      <w:pPr>
        <w:ind w:left="6822" w:hanging="360"/>
      </w:pPr>
      <w:rPr>
        <w:rFonts w:ascii="Symbol" w:hAnsi="Symbol" w:hint="default"/>
      </w:rPr>
    </w:lvl>
    <w:lvl w:ilvl="7" w:tplc="18090003" w:tentative="1">
      <w:start w:val="1"/>
      <w:numFmt w:val="bullet"/>
      <w:lvlText w:val="o"/>
      <w:lvlJc w:val="left"/>
      <w:pPr>
        <w:ind w:left="7542" w:hanging="360"/>
      </w:pPr>
      <w:rPr>
        <w:rFonts w:ascii="Courier New" w:hAnsi="Courier New" w:cs="Courier New" w:hint="default"/>
      </w:rPr>
    </w:lvl>
    <w:lvl w:ilvl="8" w:tplc="18090005" w:tentative="1">
      <w:start w:val="1"/>
      <w:numFmt w:val="bullet"/>
      <w:lvlText w:val=""/>
      <w:lvlJc w:val="left"/>
      <w:pPr>
        <w:ind w:left="8262" w:hanging="360"/>
      </w:pPr>
      <w:rPr>
        <w:rFonts w:ascii="Wingdings" w:hAnsi="Wingdings" w:hint="default"/>
      </w:rPr>
    </w:lvl>
  </w:abstractNum>
  <w:abstractNum w:abstractNumId="39"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8"/>
  </w:num>
  <w:num w:numId="9">
    <w:abstractNumId w:val="7"/>
  </w:num>
  <w:num w:numId="10">
    <w:abstractNumId w:val="41"/>
  </w:num>
  <w:num w:numId="11">
    <w:abstractNumId w:val="44"/>
  </w:num>
  <w:num w:numId="12">
    <w:abstractNumId w:val="39"/>
  </w:num>
  <w:num w:numId="13">
    <w:abstractNumId w:val="3"/>
  </w:num>
  <w:num w:numId="14">
    <w:abstractNumId w:val="11"/>
  </w:num>
  <w:num w:numId="15">
    <w:abstractNumId w:val="23"/>
  </w:num>
  <w:num w:numId="16">
    <w:abstractNumId w:val="33"/>
  </w:num>
  <w:num w:numId="17">
    <w:abstractNumId w:val="25"/>
  </w:num>
  <w:num w:numId="18">
    <w:abstractNumId w:val="16"/>
  </w:num>
  <w:num w:numId="19">
    <w:abstractNumId w:val="10"/>
  </w:num>
  <w:num w:numId="20">
    <w:abstractNumId w:val="37"/>
  </w:num>
  <w:num w:numId="21">
    <w:abstractNumId w:val="40"/>
  </w:num>
  <w:num w:numId="22">
    <w:abstractNumId w:val="31"/>
  </w:num>
  <w:num w:numId="23">
    <w:abstractNumId w:val="32"/>
  </w:num>
  <w:num w:numId="24">
    <w:abstractNumId w:val="1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2"/>
  </w:num>
  <w:num w:numId="32">
    <w:abstractNumId w:val="13"/>
  </w:num>
  <w:num w:numId="33">
    <w:abstractNumId w:val="24"/>
  </w:num>
  <w:num w:numId="34">
    <w:abstractNumId w:val="19"/>
  </w:num>
  <w:num w:numId="35">
    <w:abstractNumId w:val="4"/>
  </w:num>
  <w:num w:numId="36">
    <w:abstractNumId w:val="1"/>
  </w:num>
  <w:num w:numId="37">
    <w:abstractNumId w:val="34"/>
  </w:num>
  <w:num w:numId="38">
    <w:abstractNumId w:val="43"/>
  </w:num>
  <w:num w:numId="39">
    <w:abstractNumId w:val="27"/>
  </w:num>
  <w:num w:numId="40">
    <w:abstractNumId w:val="5"/>
  </w:num>
  <w:num w:numId="41">
    <w:abstractNumId w:val="36"/>
  </w:num>
  <w:num w:numId="42">
    <w:abstractNumId w:val="42"/>
  </w:num>
  <w:num w:numId="43">
    <w:abstractNumId w:val="28"/>
  </w:num>
  <w:num w:numId="44">
    <w:abstractNumId w:val="26"/>
  </w:num>
  <w:num w:numId="45">
    <w:abstractNumId w:val="45"/>
  </w:num>
  <w:num w:numId="46">
    <w:abstractNumId w:val="38"/>
  </w:num>
  <w:num w:numId="47">
    <w:abstractNumId w:val="30"/>
  </w:num>
  <w:num w:numId="48">
    <w:abstractNumId w:val="6"/>
  </w:num>
  <w:num w:numId="4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2F65"/>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3DA7"/>
    <w:rsid w:val="003C59DF"/>
    <w:rsid w:val="003D25EB"/>
    <w:rsid w:val="003D3448"/>
    <w:rsid w:val="003D510B"/>
    <w:rsid w:val="003D70D7"/>
    <w:rsid w:val="003E294D"/>
    <w:rsid w:val="003E509F"/>
    <w:rsid w:val="003F0A98"/>
    <w:rsid w:val="003F2C82"/>
    <w:rsid w:val="003F31AD"/>
    <w:rsid w:val="003F35F3"/>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0B72"/>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3EBE"/>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0D8"/>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ECC"/>
    <w:rsid w:val="009D6F87"/>
    <w:rsid w:val="009E51CA"/>
    <w:rsid w:val="009F05B3"/>
    <w:rsid w:val="009F3E9E"/>
    <w:rsid w:val="009F5F79"/>
    <w:rsid w:val="009F7B3E"/>
    <w:rsid w:val="00A02603"/>
    <w:rsid w:val="00A02EDC"/>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1F93"/>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4E60"/>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 w:type="character" w:styleId="Strong">
    <w:name w:val="Strong"/>
    <w:basedOn w:val="DefaultParagraphFont"/>
    <w:uiPriority w:val="22"/>
    <w:qFormat/>
    <w:rsid w:val="003F3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491219834">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39670705">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196111151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 w:id="21298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CDD9-EAE7-47B3-A4D0-4E37DD6C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1752</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12597</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10</cp:revision>
  <cp:lastPrinted>2020-02-17T16:01:00Z</cp:lastPrinted>
  <dcterms:created xsi:type="dcterms:W3CDTF">2024-04-25T10:33:00Z</dcterms:created>
  <dcterms:modified xsi:type="dcterms:W3CDTF">2024-04-25T13:46:00Z</dcterms:modified>
</cp:coreProperties>
</file>