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513A3456" w:rsidR="00F24B7E" w:rsidRPr="00D75834" w:rsidRDefault="003B0001"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Senior Financial Controller</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1ECEDC75" w:rsidR="00AB0218" w:rsidRPr="000F2327" w:rsidRDefault="00AB0218" w:rsidP="006945F8">
      <w:pPr>
        <w:spacing w:line="360" w:lineRule="auto"/>
        <w:ind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0E654666"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3B0001">
              <w:rPr>
                <w:rFonts w:ascii="Calibri" w:hAnsi="Calibri" w:cs="Arial"/>
                <w:bCs/>
                <w:color w:val="000000" w:themeColor="text1"/>
                <w:sz w:val="22"/>
                <w:szCs w:val="22"/>
              </w:rPr>
              <w:t>Senior Financial Controller</w:t>
            </w:r>
          </w:p>
          <w:p w14:paraId="55A974E1" w14:textId="2D514301"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B61917">
              <w:rPr>
                <w:rFonts w:ascii="Calibri" w:hAnsi="Calibri" w:cs="Arial"/>
                <w:b/>
                <w:bCs/>
                <w:color w:val="000000" w:themeColor="text1"/>
                <w:sz w:val="22"/>
                <w:szCs w:val="22"/>
              </w:rPr>
              <w:t xml:space="preserve"> </w:t>
            </w:r>
            <w:r w:rsidR="003B0001" w:rsidRPr="003B0001">
              <w:rPr>
                <w:rFonts w:ascii="Calibri" w:hAnsi="Calibri" w:cs="Arial"/>
                <w:color w:val="000000" w:themeColor="text1"/>
                <w:sz w:val="22"/>
                <w:szCs w:val="22"/>
              </w:rPr>
              <w:t>Principal Officer Higher</w:t>
            </w:r>
          </w:p>
          <w:p w14:paraId="60F5C90F" w14:textId="6863BD17"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3B0001">
              <w:rPr>
                <w:rFonts w:ascii="Calibri" w:hAnsi="Calibri" w:cs="Arial"/>
                <w:bCs/>
                <w:color w:val="000000" w:themeColor="text1"/>
                <w:sz w:val="22"/>
                <w:szCs w:val="22"/>
              </w:rPr>
              <w:t>Finance and Corporate Services</w:t>
            </w:r>
            <w:r w:rsidR="00F24B7E" w:rsidRPr="000F2327">
              <w:rPr>
                <w:rFonts w:ascii="Calibri" w:hAnsi="Calibri" w:cs="Arial"/>
                <w:b/>
                <w:bCs/>
                <w:color w:val="000000" w:themeColor="text1"/>
                <w:sz w:val="22"/>
                <w:szCs w:val="22"/>
              </w:rPr>
              <w:t xml:space="preserve">              </w:t>
            </w:r>
          </w:p>
          <w:p w14:paraId="502F1ED0" w14:textId="51B410A2"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3B0001">
              <w:rPr>
                <w:rFonts w:ascii="Calibri" w:hAnsi="Calibri" w:cs="Arial"/>
                <w:bCs/>
                <w:color w:val="000000" w:themeColor="text1"/>
                <w:sz w:val="22"/>
                <w:szCs w:val="22"/>
              </w:rPr>
              <w:t>Director of Finance and Corporate Services</w:t>
            </w:r>
            <w:r w:rsidR="003B0001" w:rsidRPr="000F2327">
              <w:rPr>
                <w:rFonts w:ascii="Calibri" w:hAnsi="Calibri" w:cs="Arial"/>
                <w:b/>
                <w:bCs/>
                <w:color w:val="000000" w:themeColor="text1"/>
                <w:sz w:val="22"/>
                <w:szCs w:val="22"/>
              </w:rPr>
              <w:t xml:space="preserve">              </w:t>
            </w:r>
          </w:p>
          <w:p w14:paraId="0F9EB1CB" w14:textId="2C56A0C2"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B61917">
              <w:rPr>
                <w:rFonts w:ascii="Calibri" w:hAnsi="Calibri" w:cs="Arial"/>
                <w:b/>
                <w:bCs/>
                <w:color w:val="000000" w:themeColor="text1"/>
                <w:sz w:val="22"/>
                <w:szCs w:val="22"/>
              </w:rPr>
              <w:t>:</w:t>
            </w:r>
            <w:r w:rsidR="00B61917">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5C5FEF19"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3B0001" w:rsidRPr="003B0001">
              <w:rPr>
                <w:rFonts w:asciiTheme="minorHAnsi" w:eastAsiaTheme="minorHAnsi" w:hAnsiTheme="minorHAnsi" w:cstheme="minorBidi"/>
                <w:color w:val="000000" w:themeColor="text1"/>
                <w:sz w:val="22"/>
                <w:szCs w:val="22"/>
                <w:lang w:val="en-IE" w:eastAsia="en-US"/>
              </w:rPr>
              <w:t>€108,576</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5163D265" w:rsidR="00F24B7E" w:rsidRPr="00EE34D0" w:rsidRDefault="00F46796" w:rsidP="00F24B7E">
            <w:pPr>
              <w:spacing w:line="360" w:lineRule="auto"/>
              <w:ind w:right="-32"/>
              <w:jc w:val="center"/>
              <w:rPr>
                <w:rFonts w:ascii="Calibri" w:hAnsi="Calibri"/>
                <w:b/>
                <w:spacing w:val="-2"/>
                <w:sz w:val="22"/>
                <w:szCs w:val="22"/>
              </w:rPr>
            </w:pPr>
            <w:r>
              <w:rPr>
                <w:rFonts w:ascii="Calibri" w:hAnsi="Calibri"/>
                <w:b/>
                <w:spacing w:val="-2"/>
                <w:sz w:val="22"/>
                <w:szCs w:val="22"/>
              </w:rPr>
              <w:t>12pm (noon) on Friday</w:t>
            </w:r>
            <w:r w:rsidR="00F24B7E" w:rsidRPr="00EE34D0">
              <w:rPr>
                <w:rFonts w:ascii="Calibri" w:hAnsi="Calibri"/>
                <w:b/>
                <w:spacing w:val="-2"/>
                <w:sz w:val="22"/>
                <w:szCs w:val="22"/>
              </w:rPr>
              <w:t xml:space="preserve"> </w:t>
            </w:r>
            <w:r w:rsidR="003B0001">
              <w:rPr>
                <w:rFonts w:ascii="Calibri" w:hAnsi="Calibri"/>
                <w:b/>
                <w:spacing w:val="-2"/>
                <w:sz w:val="22"/>
                <w:szCs w:val="22"/>
              </w:rPr>
              <w:t>17</w:t>
            </w:r>
            <w:r w:rsidR="003B0001" w:rsidRPr="003B0001">
              <w:rPr>
                <w:rFonts w:ascii="Calibri" w:hAnsi="Calibri"/>
                <w:b/>
                <w:spacing w:val="-2"/>
                <w:sz w:val="22"/>
                <w:szCs w:val="22"/>
                <w:vertAlign w:val="superscript"/>
              </w:rPr>
              <w:t>th</w:t>
            </w:r>
            <w:r w:rsidR="003B0001">
              <w:rPr>
                <w:rFonts w:ascii="Calibri" w:hAnsi="Calibri"/>
                <w:b/>
                <w:spacing w:val="-2"/>
                <w:sz w:val="22"/>
                <w:szCs w:val="22"/>
              </w:rPr>
              <w:t xml:space="preserve"> May 2024.</w:t>
            </w:r>
          </w:p>
          <w:p w14:paraId="049439F1" w14:textId="66C99C72" w:rsidR="000F2327" w:rsidRPr="00EE34D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3B0001" w:rsidRPr="003B0001">
              <w:rPr>
                <w:rFonts w:ascii="Calibri" w:hAnsi="Calibri"/>
                <w:b/>
                <w:spacing w:val="-2"/>
                <w:sz w:val="22"/>
                <w:szCs w:val="22"/>
              </w:rPr>
              <w:t>ntacareers@rsmireland.ie</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0944BB59" w14:textId="709F1546" w:rsidR="00B72EB2" w:rsidRDefault="00B72EB2" w:rsidP="00E6233C">
      <w:pPr>
        <w:suppressAutoHyphens/>
        <w:spacing w:line="360" w:lineRule="auto"/>
        <w:ind w:right="-32"/>
        <w:rPr>
          <w:rFonts w:ascii="Calibri" w:hAnsi="Calibri"/>
          <w:color w:val="000000" w:themeColor="text1"/>
          <w:spacing w:val="-2"/>
          <w:lang w:val="en-IE"/>
        </w:rPr>
      </w:pPr>
    </w:p>
    <w:p w14:paraId="22001EDC" w14:textId="77777777" w:rsidR="006945F8" w:rsidRDefault="006945F8"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155DD2">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155DD2">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155DD2">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155DD2">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155DD2">
      <w:pPr>
        <w:pStyle w:val="BodyText"/>
        <w:widowControl w:val="0"/>
        <w:numPr>
          <w:ilvl w:val="0"/>
          <w:numId w:val="5"/>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7E86CEDA" w14:textId="77777777" w:rsidR="006945F8" w:rsidRDefault="006945F8" w:rsidP="006945F8">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bookmarkStart w:id="0" w:name="_GoBack"/>
      <w:bookmarkEnd w:id="0"/>
    </w:p>
    <w:p w14:paraId="14672310" w14:textId="48F107A5" w:rsidR="00446481" w:rsidRPr="000F2327" w:rsidRDefault="00C100A4" w:rsidP="00E6233C">
      <w:pPr>
        <w:spacing w:line="360" w:lineRule="auto"/>
        <w:ind w:right="-32"/>
        <w:jc w:val="both"/>
        <w:rPr>
          <w:rFonts w:asciiTheme="minorHAnsi" w:hAnsiTheme="minorHAnsi" w:cstheme="minorHAnsi"/>
          <w:sz w:val="22"/>
          <w:szCs w:val="22"/>
          <w:lang w:val="en-IE" w:eastAsia="en-US"/>
        </w:rPr>
      </w:pPr>
      <w:r w:rsidRPr="000F2327">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3B0001">
        <w:rPr>
          <w:rFonts w:asciiTheme="minorHAnsi" w:hAnsiTheme="minorHAnsi" w:cstheme="minorHAnsi"/>
          <w:sz w:val="22"/>
          <w:szCs w:val="22"/>
          <w:lang w:val="en-IE" w:eastAsia="en-US"/>
        </w:rPr>
        <w:t xml:space="preserve">Senior Financial Controller. </w:t>
      </w: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3735515F"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37F8DD8"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F715344"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F32F8BF" w14:textId="274C5544" w:rsidR="00446481" w:rsidRPr="003B0001" w:rsidRDefault="004D5DF5" w:rsidP="00E6233C">
      <w:pPr>
        <w:spacing w:line="360" w:lineRule="auto"/>
        <w:ind w:right="-32"/>
        <w:jc w:val="both"/>
        <w:rPr>
          <w:rFonts w:ascii="Calibri" w:hAnsi="Calibri" w:cs="Arial"/>
          <w:b/>
          <w:color w:val="000000" w:themeColor="text1"/>
          <w:sz w:val="26"/>
          <w:szCs w:val="26"/>
          <w:lang w:val="en-IE"/>
        </w:rPr>
      </w:pPr>
      <w:r w:rsidRPr="003B0001">
        <w:rPr>
          <w:rFonts w:ascii="Calibri" w:hAnsi="Calibri" w:cs="Arial"/>
          <w:b/>
          <w:color w:val="000000" w:themeColor="text1"/>
          <w:sz w:val="24"/>
          <w:szCs w:val="26"/>
          <w:lang w:val="en-IE"/>
        </w:rPr>
        <w:lastRenderedPageBreak/>
        <w:t>D</w:t>
      </w:r>
      <w:r w:rsidR="000F2327" w:rsidRPr="003B0001">
        <w:rPr>
          <w:rFonts w:ascii="Calibri" w:hAnsi="Calibri" w:cs="Arial"/>
          <w:b/>
          <w:color w:val="000000" w:themeColor="text1"/>
          <w:sz w:val="24"/>
          <w:szCs w:val="26"/>
          <w:lang w:val="en-IE"/>
        </w:rPr>
        <w:t>uties</w:t>
      </w:r>
      <w:r w:rsidRPr="003B0001">
        <w:rPr>
          <w:rFonts w:ascii="Calibri" w:hAnsi="Calibri" w:cs="Arial"/>
          <w:b/>
          <w:color w:val="000000" w:themeColor="text1"/>
          <w:sz w:val="24"/>
          <w:szCs w:val="26"/>
          <w:lang w:val="en-IE"/>
        </w:rPr>
        <w:t xml:space="preserve"> </w:t>
      </w:r>
      <w:r w:rsidR="000F2327" w:rsidRPr="003B0001">
        <w:rPr>
          <w:rFonts w:ascii="Calibri" w:hAnsi="Calibri" w:cs="Arial"/>
          <w:b/>
          <w:color w:val="000000" w:themeColor="text1"/>
          <w:sz w:val="24"/>
          <w:szCs w:val="26"/>
          <w:lang w:val="en-IE"/>
        </w:rPr>
        <w:t>and</w:t>
      </w:r>
      <w:r w:rsidRPr="003B0001">
        <w:rPr>
          <w:rFonts w:ascii="Calibri" w:hAnsi="Calibri" w:cs="Arial"/>
          <w:b/>
          <w:color w:val="000000" w:themeColor="text1"/>
          <w:sz w:val="24"/>
          <w:szCs w:val="26"/>
          <w:lang w:val="en-IE"/>
        </w:rPr>
        <w:t xml:space="preserve"> </w:t>
      </w:r>
      <w:r w:rsidR="000F2327" w:rsidRPr="003B0001">
        <w:rPr>
          <w:rFonts w:ascii="Calibri" w:hAnsi="Calibri" w:cs="Arial"/>
          <w:b/>
          <w:color w:val="000000" w:themeColor="text1"/>
          <w:sz w:val="24"/>
          <w:szCs w:val="26"/>
          <w:lang w:val="en-IE"/>
        </w:rPr>
        <w:t>Responsibilities</w:t>
      </w:r>
    </w:p>
    <w:p w14:paraId="5ADE072F" w14:textId="77777777" w:rsidR="003B0001" w:rsidRDefault="003B0001" w:rsidP="003B0001">
      <w:pPr>
        <w:spacing w:line="360" w:lineRule="auto"/>
        <w:jc w:val="both"/>
        <w:rPr>
          <w:rFonts w:ascii="Calibri" w:hAnsi="Calibri"/>
          <w:sz w:val="22"/>
          <w:lang w:val="en-US"/>
        </w:rPr>
      </w:pPr>
      <w:r>
        <w:rPr>
          <w:rFonts w:ascii="Calibri" w:hAnsi="Calibri"/>
          <w:sz w:val="22"/>
        </w:rPr>
        <w:t>The appointee will be responsible for financial management, internal financial control, and financial planning/reporting within the National Transport Authority (NTA). The appointee will also act as deputy to the Director of Finance and Corporate Services. The NTA Senior Financial Controller will carry out the following functions:</w:t>
      </w:r>
    </w:p>
    <w:p w14:paraId="12C66C6F" w14:textId="77777777" w:rsidR="003B0001" w:rsidRDefault="003B0001" w:rsidP="003B0001">
      <w:pPr>
        <w:jc w:val="both"/>
        <w:rPr>
          <w:rFonts w:ascii="Calibri" w:hAnsi="Calibri"/>
          <w:sz w:val="22"/>
        </w:rPr>
      </w:pPr>
    </w:p>
    <w:p w14:paraId="613A8BBB"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Development of the financial systems, reporting capability and controls environment to support the capital and current expenditure programmes of the NTA; </w:t>
      </w:r>
    </w:p>
    <w:p w14:paraId="1E0F619F"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Develop budgets and monitor expenditure (budget of €2.4bn in 2024);</w:t>
      </w:r>
    </w:p>
    <w:p w14:paraId="4F20DEB0"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Preparation of monthly management accounts and the annual financial statements;</w:t>
      </w:r>
    </w:p>
    <w:p w14:paraId="3B0BDC2E"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Maintain an excellent standard of governance, internal controls and risk management;</w:t>
      </w:r>
    </w:p>
    <w:p w14:paraId="510AAD2C"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Consolidate and manage financial reporting of NTA corporate activities, Transport Planning Investment, Public Service Obligation (PSO), Taxi Regulation, the Integrated Ticketing Scheme (LEAP), Next Generation Ticketing and Rural Transport;</w:t>
      </w:r>
    </w:p>
    <w:p w14:paraId="21A2505F"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Reengineering and automation of existing business processes and practices to increase the efficiency and timeliness of financial transaction processing and financial reporting;</w:t>
      </w:r>
    </w:p>
    <w:p w14:paraId="6AF208C0"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Building strong business partner relationships with internal and external stakeholders; </w:t>
      </w:r>
    </w:p>
    <w:p w14:paraId="6246AF73"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Develop best practice financial and treasury policies in line with Government guidelines;</w:t>
      </w:r>
    </w:p>
    <w:p w14:paraId="4CC5B8CD"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Ensure compliance with the Public Spending Code and the Code of Practice for Governance of State Bodies;</w:t>
      </w:r>
    </w:p>
    <w:p w14:paraId="584F6B22"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Devise and implement value for money strategies;</w:t>
      </w:r>
    </w:p>
    <w:p w14:paraId="79CDEF4F"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Manage the Central Finance, Public Service Obligation (PSO), Integrated Ticketing, and Rural Transport Finance Teams; </w:t>
      </w:r>
    </w:p>
    <w:p w14:paraId="6C62A27B"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Report to relevant Government departments on financial matters and to the Comptroller &amp; Auditor General;</w:t>
      </w:r>
    </w:p>
    <w:p w14:paraId="1F004165"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Plan and monitor the audit of expenditure against public transport service contracts and NTA capital grants to 3rd parties; </w:t>
      </w:r>
    </w:p>
    <w:p w14:paraId="67D98B24"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Liaise with and support the Internal Audit function;</w:t>
      </w:r>
    </w:p>
    <w:p w14:paraId="1FBBE0E9"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Manage finance related service providers and advisors;</w:t>
      </w:r>
    </w:p>
    <w:p w14:paraId="05B015A7"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Ensure the NTA is tax compliant;</w:t>
      </w:r>
    </w:p>
    <w:p w14:paraId="4F3B5453"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Ad hoc project work; and</w:t>
      </w:r>
    </w:p>
    <w:p w14:paraId="119B80ED" w14:textId="64DE1C6D"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Generally support the work of the Authority. </w:t>
      </w:r>
    </w:p>
    <w:p w14:paraId="37F566AD" w14:textId="77777777" w:rsidR="006945F8" w:rsidRPr="006945F8" w:rsidRDefault="006945F8" w:rsidP="006945F8">
      <w:pPr>
        <w:spacing w:line="360" w:lineRule="auto"/>
        <w:jc w:val="both"/>
        <w:rPr>
          <w:rFonts w:ascii="Calibri" w:hAnsi="Calibri"/>
          <w:sz w:val="22"/>
        </w:rPr>
      </w:pPr>
    </w:p>
    <w:p w14:paraId="4A71D8FA" w14:textId="77777777" w:rsidR="006945F8" w:rsidRDefault="003B0001" w:rsidP="006945F8">
      <w:pPr>
        <w:spacing w:line="360" w:lineRule="auto"/>
        <w:jc w:val="both"/>
        <w:rPr>
          <w:rFonts w:ascii="Calibri" w:hAnsi="Calibri"/>
          <w:i/>
          <w:sz w:val="22"/>
          <w:lang w:val="en-US"/>
        </w:rPr>
      </w:pPr>
      <w:r w:rsidRPr="003B0001">
        <w:rPr>
          <w:rFonts w:ascii="Calibri" w:hAnsi="Calibri"/>
          <w:b/>
          <w:i/>
          <w:sz w:val="22"/>
          <w:u w:val="single"/>
          <w:lang w:val="en-US"/>
        </w:rPr>
        <w:t>Please note:</w:t>
      </w:r>
      <w:r w:rsidRPr="003B0001">
        <w:rPr>
          <w:rFonts w:ascii="Calibri" w:hAnsi="Calibri"/>
          <w:i/>
          <w:sz w:val="22"/>
          <w:lang w:val="en-US"/>
        </w:rPr>
        <w:t xml:space="preserve"> It is intended that the Procurement Section will be moved under this role at a future point.</w:t>
      </w:r>
    </w:p>
    <w:p w14:paraId="10BAD4A9" w14:textId="7DEE0072" w:rsidR="006945F8" w:rsidRDefault="006945F8" w:rsidP="006945F8">
      <w:pPr>
        <w:spacing w:line="360" w:lineRule="auto"/>
        <w:jc w:val="both"/>
        <w:rPr>
          <w:rFonts w:ascii="Calibri" w:hAnsi="Calibri"/>
          <w:i/>
          <w:sz w:val="22"/>
          <w:lang w:val="en-US"/>
        </w:rPr>
      </w:pPr>
    </w:p>
    <w:p w14:paraId="26D2D4AC" w14:textId="04D3B4C9" w:rsidR="003B0001" w:rsidRPr="003B0001" w:rsidRDefault="003B0001" w:rsidP="006945F8">
      <w:pPr>
        <w:spacing w:line="360" w:lineRule="auto"/>
        <w:jc w:val="both"/>
        <w:rPr>
          <w:rFonts w:ascii="Calibri" w:hAnsi="Calibri" w:cs="Arial"/>
          <w:b/>
          <w:bCs/>
          <w:i/>
          <w:iCs/>
          <w:sz w:val="22"/>
          <w:u w:val="single"/>
        </w:rPr>
      </w:pPr>
      <w:r w:rsidRPr="003B0001">
        <w:rPr>
          <w:rFonts w:ascii="Calibri" w:hAnsi="Calibri" w:cs="Arial"/>
          <w:b/>
          <w:bCs/>
          <w:i/>
          <w:iCs/>
          <w:sz w:val="22"/>
          <w:u w:val="single"/>
        </w:rPr>
        <w:t>Key Elements of Duties:</w:t>
      </w:r>
    </w:p>
    <w:p w14:paraId="013597BD" w14:textId="77777777" w:rsidR="003B0001" w:rsidRPr="003B0001" w:rsidRDefault="003B0001" w:rsidP="003B0001">
      <w:pPr>
        <w:spacing w:after="120" w:line="360" w:lineRule="auto"/>
        <w:rPr>
          <w:rFonts w:ascii="Calibri" w:hAnsi="Calibri"/>
          <w:sz w:val="22"/>
          <w:lang w:val="en-US"/>
        </w:rPr>
      </w:pPr>
      <w:r w:rsidRPr="003B0001">
        <w:rPr>
          <w:rFonts w:ascii="Calibri" w:hAnsi="Calibri"/>
          <w:sz w:val="22"/>
          <w:lang w:val="en-US"/>
        </w:rPr>
        <w:t>More specifically, the NTA Senior Financial Controller shall undertake the following tasks to the highest standards:</w:t>
      </w:r>
    </w:p>
    <w:p w14:paraId="000AEB8E" w14:textId="66CCF205" w:rsidR="003B0001" w:rsidRDefault="003B0001" w:rsidP="003B0001">
      <w:pPr>
        <w:spacing w:line="288" w:lineRule="auto"/>
        <w:rPr>
          <w:sz w:val="22"/>
          <w:lang w:val="en-US"/>
        </w:rPr>
      </w:pPr>
    </w:p>
    <w:p w14:paraId="5F6DA4FF" w14:textId="77777777" w:rsidR="006945F8" w:rsidRPr="003B0001" w:rsidRDefault="006945F8" w:rsidP="003B0001">
      <w:pPr>
        <w:spacing w:line="288" w:lineRule="auto"/>
        <w:rPr>
          <w:sz w:val="22"/>
          <w:lang w:val="en-US"/>
        </w:rPr>
      </w:pPr>
    </w:p>
    <w:p w14:paraId="3DFB5B69" w14:textId="77777777" w:rsidR="003B0001" w:rsidRPr="003B0001" w:rsidRDefault="003B0001" w:rsidP="003B0001">
      <w:pPr>
        <w:ind w:left="720" w:hanging="720"/>
        <w:jc w:val="both"/>
        <w:rPr>
          <w:rFonts w:ascii="Calibri" w:hAnsi="Calibri" w:cs="Arial"/>
          <w:b/>
          <w:bCs/>
          <w:i/>
          <w:iCs/>
          <w:sz w:val="22"/>
          <w:u w:val="single"/>
        </w:rPr>
      </w:pPr>
      <w:r w:rsidRPr="003B0001">
        <w:rPr>
          <w:rFonts w:ascii="Calibri" w:hAnsi="Calibri" w:cs="Arial"/>
          <w:b/>
          <w:bCs/>
          <w:i/>
          <w:iCs/>
          <w:sz w:val="22"/>
          <w:u w:val="single"/>
        </w:rPr>
        <w:lastRenderedPageBreak/>
        <w:t>Financial Reporting and Systems:</w:t>
      </w:r>
    </w:p>
    <w:p w14:paraId="6EEEB2A7" w14:textId="77777777" w:rsidR="003B0001" w:rsidRPr="003B0001" w:rsidRDefault="003B0001" w:rsidP="003B0001">
      <w:pPr>
        <w:ind w:left="720"/>
        <w:jc w:val="both"/>
        <w:rPr>
          <w:rFonts w:cs="Arial"/>
          <w:i/>
          <w:iCs/>
          <w:sz w:val="22"/>
        </w:rPr>
      </w:pPr>
    </w:p>
    <w:p w14:paraId="5648ACC0"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Develop the financial system and controls environment for the NTA’s expenditure and also to accommodate any additional functions that may be taken on by the NTA;</w:t>
      </w:r>
    </w:p>
    <w:p w14:paraId="3D1813CC"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Develop financial and management reporting capability to support the operational needs and strategic objectives of the NTA; </w:t>
      </w:r>
    </w:p>
    <w:p w14:paraId="5FBC4EFA"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Prepare multi-annual budgets and continually review expenditure against budget;</w:t>
      </w:r>
    </w:p>
    <w:p w14:paraId="562EACCD"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Preparation of monthly management accounts, financial dashboards, and the annual financial statements;</w:t>
      </w:r>
    </w:p>
    <w:p w14:paraId="57A82876"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Manage the Central Finance, Public Service Obligation (PSO), Integrated Ticketing, and Rural Transport Finance Teams,</w:t>
      </w:r>
    </w:p>
    <w:p w14:paraId="69251799"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Manage a network  of external contractors and advisers;   </w:t>
      </w:r>
    </w:p>
    <w:p w14:paraId="4F073587"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Ensure timely remittance of all returns to Revenue;</w:t>
      </w:r>
    </w:p>
    <w:p w14:paraId="629D59ED"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Prepare financial reports for the Board and the Audit Committee of the Board;  </w:t>
      </w:r>
    </w:p>
    <w:p w14:paraId="498FC9CA" w14:textId="78C850B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Manage payroll processes and staff superannuation schemes;</w:t>
      </w:r>
      <w:r w:rsidR="006945F8">
        <w:rPr>
          <w:rFonts w:ascii="Calibri" w:hAnsi="Calibri"/>
          <w:color w:val="000000" w:themeColor="text1"/>
          <w:sz w:val="22"/>
          <w:szCs w:val="22"/>
        </w:rPr>
        <w:t xml:space="preserve"> and</w:t>
      </w:r>
    </w:p>
    <w:p w14:paraId="2C3D2B6B"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Respond to and interface with the Comptroller and Auditor General and the Internal Audit Function.</w:t>
      </w:r>
    </w:p>
    <w:p w14:paraId="41B763F7" w14:textId="77777777" w:rsidR="003B0001" w:rsidRPr="003B0001" w:rsidRDefault="003B0001" w:rsidP="003B0001">
      <w:pPr>
        <w:jc w:val="both"/>
        <w:rPr>
          <w:rFonts w:ascii="Calibri" w:hAnsi="Calibri" w:cs="Arial"/>
          <w:b/>
          <w:i/>
          <w:sz w:val="22"/>
          <w:u w:val="single"/>
        </w:rPr>
      </w:pPr>
    </w:p>
    <w:p w14:paraId="3382C822" w14:textId="77777777" w:rsidR="003B0001" w:rsidRPr="003B0001" w:rsidRDefault="003B0001" w:rsidP="003B0001">
      <w:pPr>
        <w:jc w:val="both"/>
        <w:rPr>
          <w:rFonts w:ascii="Calibri" w:hAnsi="Calibri" w:cs="Arial"/>
          <w:b/>
          <w:i/>
          <w:sz w:val="22"/>
          <w:u w:val="single"/>
        </w:rPr>
      </w:pPr>
    </w:p>
    <w:p w14:paraId="3B448C2E" w14:textId="77777777" w:rsidR="003B0001" w:rsidRPr="003B0001" w:rsidRDefault="003B0001" w:rsidP="003B0001">
      <w:pPr>
        <w:jc w:val="both"/>
        <w:rPr>
          <w:rFonts w:ascii="Calibri" w:hAnsi="Calibri" w:cs="Arial"/>
          <w:b/>
          <w:i/>
          <w:sz w:val="22"/>
          <w:u w:val="single"/>
        </w:rPr>
      </w:pPr>
      <w:r w:rsidRPr="003B0001">
        <w:rPr>
          <w:rFonts w:ascii="Calibri" w:hAnsi="Calibri" w:cs="Arial"/>
          <w:b/>
          <w:i/>
          <w:sz w:val="22"/>
          <w:u w:val="single"/>
        </w:rPr>
        <w:t>Financial Analysis and Value for Money (VFM):</w:t>
      </w:r>
    </w:p>
    <w:p w14:paraId="4FC293A8" w14:textId="77777777" w:rsidR="003B0001" w:rsidRPr="003B0001" w:rsidRDefault="003B0001" w:rsidP="003B0001">
      <w:pPr>
        <w:ind w:left="720"/>
        <w:jc w:val="both"/>
        <w:rPr>
          <w:rFonts w:ascii="Calibri" w:hAnsi="Calibri" w:cs="Arial"/>
          <w:sz w:val="22"/>
        </w:rPr>
      </w:pPr>
    </w:p>
    <w:p w14:paraId="76A770CA"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Prepare rolling forecasts of long-term funding requirements to meet multi-annual project commitments;</w:t>
      </w:r>
    </w:p>
    <w:p w14:paraId="109EF0A5"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Manage and ensure adequate control over the disbursement of capital grants and subventions to local authorities, transport agencies and transport operators;</w:t>
      </w:r>
    </w:p>
    <w:p w14:paraId="3C8295C6" w14:textId="55084A5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Treasury management;</w:t>
      </w:r>
      <w:r w:rsidR="006945F8">
        <w:rPr>
          <w:rFonts w:ascii="Calibri" w:hAnsi="Calibri"/>
          <w:color w:val="000000" w:themeColor="text1"/>
          <w:sz w:val="22"/>
          <w:szCs w:val="22"/>
        </w:rPr>
        <w:t xml:space="preserve"> and</w:t>
      </w:r>
    </w:p>
    <w:p w14:paraId="78B8B0BB"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Further enhance the ‘value for money’ ethos within the Authority.</w:t>
      </w:r>
    </w:p>
    <w:p w14:paraId="6060F409" w14:textId="77777777" w:rsidR="003B0001" w:rsidRPr="003B0001" w:rsidRDefault="003B0001" w:rsidP="003B0001">
      <w:pPr>
        <w:jc w:val="both"/>
        <w:rPr>
          <w:rFonts w:ascii="Calibri" w:hAnsi="Calibri" w:cs="Arial"/>
          <w:sz w:val="22"/>
        </w:rPr>
      </w:pPr>
    </w:p>
    <w:p w14:paraId="027EF216" w14:textId="77777777" w:rsidR="003B0001" w:rsidRPr="003B0001" w:rsidRDefault="003B0001" w:rsidP="003B0001">
      <w:pPr>
        <w:ind w:left="720" w:hanging="720"/>
        <w:jc w:val="both"/>
        <w:rPr>
          <w:rFonts w:ascii="Calibri" w:hAnsi="Calibri" w:cs="Arial"/>
          <w:b/>
          <w:bCs/>
          <w:i/>
          <w:iCs/>
          <w:sz w:val="22"/>
          <w:u w:val="single"/>
        </w:rPr>
      </w:pPr>
      <w:r w:rsidRPr="003B0001">
        <w:rPr>
          <w:rFonts w:ascii="Calibri" w:hAnsi="Calibri" w:cs="Arial"/>
          <w:b/>
          <w:bCs/>
          <w:i/>
          <w:iCs/>
          <w:sz w:val="22"/>
          <w:u w:val="single"/>
        </w:rPr>
        <w:t>Financial Governance:</w:t>
      </w:r>
    </w:p>
    <w:p w14:paraId="5B19F049" w14:textId="77777777" w:rsidR="003B0001" w:rsidRPr="003B0001" w:rsidRDefault="003B0001" w:rsidP="003B0001">
      <w:pPr>
        <w:ind w:left="720"/>
        <w:jc w:val="both"/>
        <w:rPr>
          <w:rFonts w:ascii="Calibri" w:hAnsi="Calibri" w:cs="Arial"/>
          <w:sz w:val="22"/>
        </w:rPr>
      </w:pPr>
    </w:p>
    <w:p w14:paraId="0D240681"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 xml:space="preserve">Maintain and continuously develop a comprehensive suite of financial policies and procedures to ensure best practice governance and financial controls in accordance with the Code of Practice for Governance of State Bodies and the Public Spending Code;  </w:t>
      </w:r>
    </w:p>
    <w:p w14:paraId="3A1A2F26" w14:textId="0ACA602C"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Monitor, report and take action on financial governance compliance;</w:t>
      </w:r>
      <w:r w:rsidR="006945F8">
        <w:rPr>
          <w:rFonts w:ascii="Calibri" w:hAnsi="Calibri"/>
          <w:color w:val="000000" w:themeColor="text1"/>
          <w:sz w:val="22"/>
          <w:szCs w:val="22"/>
        </w:rPr>
        <w:t xml:space="preserve"> and</w:t>
      </w:r>
    </w:p>
    <w:p w14:paraId="198F85B2" w14:textId="77777777" w:rsidR="003B0001" w:rsidRPr="006945F8" w:rsidRDefault="003B0001" w:rsidP="006945F8">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6945F8">
        <w:rPr>
          <w:rFonts w:ascii="Calibri" w:hAnsi="Calibri"/>
          <w:color w:val="000000" w:themeColor="text1"/>
          <w:sz w:val="22"/>
          <w:szCs w:val="22"/>
        </w:rPr>
        <w:t>Ensure that a systematic risk assessment process is embedded in the Finance Function.</w:t>
      </w:r>
    </w:p>
    <w:p w14:paraId="2008E366" w14:textId="7777777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4D5E7181"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 are based on the current organisational requirements and may be changed from time to time. The person</w:t>
      </w:r>
      <w:r w:rsidR="003B0001">
        <w:rPr>
          <w:rFonts w:asciiTheme="minorHAnsi" w:hAnsiTheme="minorHAnsi" w:cstheme="minorHAnsi"/>
          <w:sz w:val="22"/>
          <w:szCs w:val="22"/>
        </w:rPr>
        <w:t xml:space="preserve"> </w:t>
      </w:r>
      <w:r w:rsidRPr="00D75834">
        <w:rPr>
          <w:rFonts w:asciiTheme="minorHAnsi" w:hAnsiTheme="minorHAnsi" w:cstheme="minorHAnsi"/>
          <w:sz w:val="22"/>
          <w:szCs w:val="22"/>
        </w:rPr>
        <w:t>appointed require</w:t>
      </w:r>
      <w:r w:rsidR="003B0001">
        <w:rPr>
          <w:rFonts w:asciiTheme="minorHAnsi" w:hAnsiTheme="minorHAnsi" w:cstheme="minorHAnsi"/>
          <w:sz w:val="22"/>
          <w:szCs w:val="22"/>
        </w:rPr>
        <w:t>s</w:t>
      </w:r>
      <w:r w:rsidRPr="00D75834">
        <w:rPr>
          <w:rFonts w:asciiTheme="minorHAnsi" w:hAnsiTheme="minorHAnsi" w:cstheme="minorHAnsi"/>
          <w:sz w:val="22"/>
          <w:szCs w:val="22"/>
        </w:rPr>
        <w:t xml:space="preserve"> the flexibility to fulfil other roles and responsibilities at a similar level within the Authority.</w:t>
      </w:r>
    </w:p>
    <w:p w14:paraId="7A1CA4CC" w14:textId="77777777"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3B0001">
        <w:rPr>
          <w:rFonts w:asciiTheme="minorHAnsi" w:hAnsiTheme="minorHAnsi" w:cstheme="minorHAnsi"/>
          <w:b/>
          <w:bCs/>
          <w:kern w:val="32"/>
          <w:sz w:val="24"/>
          <w:szCs w:val="26"/>
        </w:rPr>
        <w:lastRenderedPageBreak/>
        <w:t>E</w:t>
      </w:r>
      <w:r w:rsidR="00A6561C" w:rsidRPr="003B0001">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3BE772C8" w14:textId="77777777" w:rsidR="003B0001" w:rsidRDefault="003B0001" w:rsidP="00155DD2">
      <w:pPr>
        <w:widowControl w:val="0"/>
        <w:numPr>
          <w:ilvl w:val="0"/>
          <w:numId w:val="6"/>
        </w:numPr>
        <w:autoSpaceDE w:val="0"/>
        <w:autoSpaceDN w:val="0"/>
        <w:adjustRightInd w:val="0"/>
        <w:spacing w:after="200" w:line="360" w:lineRule="auto"/>
        <w:ind w:left="714" w:hanging="357"/>
        <w:contextualSpacing/>
        <w:jc w:val="both"/>
        <w:rPr>
          <w:rFonts w:ascii="Calibri" w:hAnsi="Calibri"/>
          <w:sz w:val="22"/>
          <w:szCs w:val="22"/>
          <w:lang w:val="en-US"/>
        </w:rPr>
      </w:pPr>
      <w:r>
        <w:rPr>
          <w:rFonts w:ascii="Calibri" w:hAnsi="Calibri"/>
          <w:sz w:val="22"/>
          <w:szCs w:val="22"/>
        </w:rPr>
        <w:t>Hold a professional accountancy qualification and be admitted to membership of a</w:t>
      </w:r>
      <w:r>
        <w:rPr>
          <w:rFonts w:ascii="Calibri" w:hAnsi="Calibri"/>
          <w:sz w:val="22"/>
          <w:szCs w:val="22"/>
          <w:lang w:val="en-IE"/>
        </w:rPr>
        <w:t xml:space="preserve"> recognised</w:t>
      </w:r>
      <w:r>
        <w:rPr>
          <w:rFonts w:ascii="Calibri" w:hAnsi="Calibri"/>
          <w:sz w:val="22"/>
          <w:szCs w:val="22"/>
        </w:rPr>
        <w:t xml:space="preserve"> professional body of accountants;</w:t>
      </w:r>
    </w:p>
    <w:p w14:paraId="392B3561" w14:textId="77777777" w:rsidR="003B0001" w:rsidRDefault="003B0001" w:rsidP="00155DD2">
      <w:pPr>
        <w:widowControl w:val="0"/>
        <w:numPr>
          <w:ilvl w:val="0"/>
          <w:numId w:val="6"/>
        </w:numPr>
        <w:autoSpaceDE w:val="0"/>
        <w:autoSpaceDN w:val="0"/>
        <w:adjustRightInd w:val="0"/>
        <w:spacing w:line="360" w:lineRule="auto"/>
        <w:ind w:left="714" w:hanging="357"/>
        <w:contextualSpacing/>
        <w:jc w:val="both"/>
        <w:rPr>
          <w:rFonts w:ascii="Calibri" w:hAnsi="Calibri"/>
          <w:sz w:val="22"/>
          <w:szCs w:val="22"/>
        </w:rPr>
      </w:pPr>
      <w:r>
        <w:rPr>
          <w:rFonts w:ascii="Calibri" w:hAnsi="Calibri"/>
          <w:sz w:val="22"/>
          <w:szCs w:val="22"/>
        </w:rPr>
        <w:t>Have at least 10 years’ satisfactory relevant experience as a professional accountant or equivalent experience in a public sector accounting environment, with 5 of those years working as a manager;</w:t>
      </w:r>
    </w:p>
    <w:p w14:paraId="49AB9218"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 xml:space="preserve">Experience in financial management and developing comprehensive internal control, risk management and assurance systems; </w:t>
      </w:r>
    </w:p>
    <w:p w14:paraId="561083FA"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Experience of conducting and leading audits;</w:t>
      </w:r>
    </w:p>
    <w:p w14:paraId="52A3DED1"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Have knowledge and experience of investment appraisals, cost benefit analysis, and development of business cases;</w:t>
      </w:r>
    </w:p>
    <w:p w14:paraId="73A7DF53"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 xml:space="preserve">Appropriate experience of managing and developing large and diverse finance teams;  </w:t>
      </w:r>
    </w:p>
    <w:p w14:paraId="0A2F6678"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 xml:space="preserve">Experience of leading complex financial systems implementations; </w:t>
      </w:r>
    </w:p>
    <w:p w14:paraId="577AD20C"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Have project management skills and experience;</w:t>
      </w:r>
    </w:p>
    <w:p w14:paraId="1DD90901"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 xml:space="preserve">Strong technical accounting skills and knowledge of accounting standards;  </w:t>
      </w:r>
    </w:p>
    <w:p w14:paraId="2A3B1B65"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Experience of ensuring best in class data protection and cyber security controls for financial systems and practices;</w:t>
      </w:r>
    </w:p>
    <w:p w14:paraId="3896B5BA"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 xml:space="preserve">Strong contract management skills and experience;  </w:t>
      </w:r>
    </w:p>
    <w:p w14:paraId="08C677B7" w14:textId="07234AEB"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Excellent interpersonal and communication skills;</w:t>
      </w:r>
      <w:r w:rsidR="006945F8">
        <w:rPr>
          <w:rFonts w:ascii="Calibri" w:hAnsi="Calibri"/>
          <w:sz w:val="22"/>
          <w:lang w:val="en-IE"/>
        </w:rPr>
        <w:t xml:space="preserve"> and</w:t>
      </w:r>
    </w:p>
    <w:p w14:paraId="40EB6479" w14:textId="77777777" w:rsidR="003B0001" w:rsidRDefault="003B0001" w:rsidP="00155DD2">
      <w:pPr>
        <w:numPr>
          <w:ilvl w:val="0"/>
          <w:numId w:val="6"/>
        </w:numPr>
        <w:spacing w:line="360" w:lineRule="auto"/>
        <w:ind w:left="720"/>
        <w:jc w:val="both"/>
        <w:rPr>
          <w:rFonts w:ascii="Calibri" w:hAnsi="Calibri"/>
          <w:sz w:val="22"/>
          <w:lang w:val="en-IE"/>
        </w:rPr>
      </w:pPr>
      <w:r>
        <w:rPr>
          <w:rFonts w:ascii="Calibri" w:hAnsi="Calibri"/>
          <w:sz w:val="22"/>
          <w:lang w:val="en-IE"/>
        </w:rPr>
        <w:t>Ability to work on own initiative, as part of a team and as leader of a group.</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7A191F">
        <w:rPr>
          <w:rFonts w:asciiTheme="minorHAnsi" w:hAnsiTheme="minorHAnsi" w:cstheme="minorHAnsi"/>
          <w:b/>
          <w:color w:val="000000" w:themeColor="text1"/>
          <w:sz w:val="24"/>
          <w:szCs w:val="26"/>
        </w:rPr>
        <w:t>D</w:t>
      </w:r>
      <w:r w:rsidR="00A6561C" w:rsidRPr="007A191F">
        <w:rPr>
          <w:rFonts w:asciiTheme="minorHAnsi" w:hAnsiTheme="minorHAnsi" w:cstheme="minorHAnsi"/>
          <w:b/>
          <w:color w:val="000000" w:themeColor="text1"/>
          <w:sz w:val="24"/>
          <w:szCs w:val="26"/>
        </w:rPr>
        <w:t xml:space="preserve">esirable </w:t>
      </w:r>
      <w:r w:rsidR="00A47731" w:rsidRPr="007A191F">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22FCD40C" w:rsidR="00B7768C" w:rsidRPr="000F2327"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59C9BA7F" w14:textId="5699D394" w:rsidR="0074303E" w:rsidRPr="0074303E" w:rsidRDefault="0074303E" w:rsidP="006945F8">
      <w:pPr>
        <w:numPr>
          <w:ilvl w:val="0"/>
          <w:numId w:val="6"/>
        </w:numPr>
        <w:spacing w:line="360" w:lineRule="auto"/>
        <w:ind w:left="720"/>
        <w:jc w:val="both"/>
        <w:rPr>
          <w:rFonts w:ascii="Calibri" w:hAnsi="Calibri"/>
          <w:sz w:val="22"/>
          <w:lang w:val="en-IE"/>
        </w:rPr>
      </w:pPr>
      <w:r w:rsidRPr="0074303E">
        <w:rPr>
          <w:rFonts w:ascii="Calibri" w:hAnsi="Calibri"/>
          <w:sz w:val="22"/>
          <w:lang w:val="en-IE"/>
        </w:rPr>
        <w:t>Hold a minimum of a NFQ level 7 qualification  in a finance, business or related discipline;</w:t>
      </w:r>
    </w:p>
    <w:p w14:paraId="2B0481C4" w14:textId="77777777" w:rsidR="0074303E" w:rsidRPr="0074303E" w:rsidRDefault="0074303E" w:rsidP="006945F8">
      <w:pPr>
        <w:numPr>
          <w:ilvl w:val="0"/>
          <w:numId w:val="6"/>
        </w:numPr>
        <w:spacing w:line="360" w:lineRule="auto"/>
        <w:ind w:left="720"/>
        <w:jc w:val="both"/>
        <w:rPr>
          <w:rFonts w:ascii="Calibri" w:hAnsi="Calibri"/>
          <w:sz w:val="22"/>
          <w:lang w:val="en-IE"/>
        </w:rPr>
      </w:pPr>
      <w:r w:rsidRPr="0074303E">
        <w:rPr>
          <w:rFonts w:ascii="Calibri" w:hAnsi="Calibri"/>
          <w:sz w:val="22"/>
          <w:lang w:val="en-IE"/>
        </w:rPr>
        <w:t>Have knowledge of practices/procedures of the public sector and particularly public sector accounting procedures;</w:t>
      </w:r>
    </w:p>
    <w:p w14:paraId="66F2F7B2" w14:textId="77777777" w:rsidR="0074303E" w:rsidRPr="0074303E" w:rsidRDefault="0074303E" w:rsidP="006945F8">
      <w:pPr>
        <w:numPr>
          <w:ilvl w:val="0"/>
          <w:numId w:val="6"/>
        </w:numPr>
        <w:spacing w:line="360" w:lineRule="auto"/>
        <w:ind w:left="720"/>
        <w:jc w:val="both"/>
        <w:rPr>
          <w:rFonts w:ascii="Calibri" w:hAnsi="Calibri"/>
          <w:sz w:val="22"/>
          <w:lang w:val="en-IE"/>
        </w:rPr>
      </w:pPr>
      <w:r w:rsidRPr="0074303E">
        <w:rPr>
          <w:rFonts w:ascii="Calibri" w:hAnsi="Calibri"/>
          <w:sz w:val="22"/>
          <w:lang w:val="en-IE"/>
        </w:rPr>
        <w:t>Have knowledge of public procurement procedures at national and EU level;</w:t>
      </w:r>
    </w:p>
    <w:p w14:paraId="12154A0C" w14:textId="2CC5557C" w:rsidR="0074303E" w:rsidRPr="0074303E" w:rsidRDefault="0074303E" w:rsidP="006945F8">
      <w:pPr>
        <w:numPr>
          <w:ilvl w:val="0"/>
          <w:numId w:val="6"/>
        </w:numPr>
        <w:spacing w:line="360" w:lineRule="auto"/>
        <w:ind w:left="720"/>
        <w:jc w:val="both"/>
        <w:rPr>
          <w:rFonts w:ascii="Calibri" w:hAnsi="Calibri"/>
          <w:sz w:val="22"/>
          <w:lang w:val="en-IE"/>
        </w:rPr>
      </w:pPr>
      <w:r w:rsidRPr="0074303E">
        <w:rPr>
          <w:rFonts w:ascii="Calibri" w:hAnsi="Calibri"/>
          <w:sz w:val="22"/>
          <w:lang w:val="en-IE"/>
        </w:rPr>
        <w:lastRenderedPageBreak/>
        <w:t>Have knowledge and experience of high volume transactions environment and associa</w:t>
      </w:r>
      <w:r w:rsidR="006945F8">
        <w:rPr>
          <w:rFonts w:ascii="Calibri" w:hAnsi="Calibri"/>
          <w:sz w:val="22"/>
          <w:lang w:val="en-IE"/>
        </w:rPr>
        <w:t>ted internal control systems; and</w:t>
      </w:r>
    </w:p>
    <w:p w14:paraId="55C674CA" w14:textId="77777777" w:rsidR="0074303E" w:rsidRPr="0074303E" w:rsidRDefault="0074303E" w:rsidP="006945F8">
      <w:pPr>
        <w:numPr>
          <w:ilvl w:val="0"/>
          <w:numId w:val="6"/>
        </w:numPr>
        <w:spacing w:line="360" w:lineRule="auto"/>
        <w:ind w:left="720"/>
        <w:jc w:val="both"/>
        <w:rPr>
          <w:rFonts w:ascii="Calibri" w:hAnsi="Calibri"/>
          <w:sz w:val="22"/>
          <w:lang w:val="en-IE"/>
        </w:rPr>
      </w:pPr>
      <w:r w:rsidRPr="0074303E">
        <w:rPr>
          <w:rFonts w:ascii="Calibri" w:hAnsi="Calibri"/>
          <w:sz w:val="22"/>
          <w:lang w:val="en-IE"/>
        </w:rPr>
        <w:t>Have knowledge of corporate governance and the requirements of the Code of Practice for the Governance of State Bodies.</w:t>
      </w:r>
    </w:p>
    <w:p w14:paraId="4446A922" w14:textId="688C16CE" w:rsidR="00446481" w:rsidRPr="000F2327" w:rsidRDefault="00446481" w:rsidP="00F65790">
      <w:pPr>
        <w:tabs>
          <w:tab w:val="left" w:pos="8364"/>
        </w:tabs>
        <w:spacing w:line="360" w:lineRule="auto"/>
        <w:ind w:right="-32"/>
        <w:jc w:val="both"/>
        <w:rPr>
          <w:rFonts w:ascii="Calibri" w:hAnsi="Calibri"/>
          <w:sz w:val="22"/>
          <w:lang w:val="en-IE"/>
        </w:rPr>
      </w:pPr>
    </w:p>
    <w:p w14:paraId="65D36952" w14:textId="77777777" w:rsidR="00805C30" w:rsidRPr="0074303E" w:rsidRDefault="007A1FEC" w:rsidP="00E6233C">
      <w:pPr>
        <w:spacing w:line="360" w:lineRule="auto"/>
        <w:ind w:right="-32"/>
        <w:jc w:val="both"/>
        <w:rPr>
          <w:rFonts w:ascii="Calibri" w:hAnsi="Calibri" w:cs="Arial"/>
          <w:b/>
          <w:color w:val="000000" w:themeColor="text1"/>
          <w:sz w:val="24"/>
          <w:szCs w:val="24"/>
        </w:rPr>
      </w:pPr>
      <w:r w:rsidRPr="0074303E">
        <w:rPr>
          <w:rFonts w:ascii="Calibri" w:hAnsi="Calibri" w:cs="Arial"/>
          <w:b/>
          <w:color w:val="000000" w:themeColor="text1"/>
          <w:sz w:val="24"/>
          <w:szCs w:val="24"/>
        </w:rPr>
        <w:t>R</w:t>
      </w:r>
      <w:r w:rsidR="00805C30" w:rsidRPr="0074303E">
        <w:rPr>
          <w:rFonts w:ascii="Calibri" w:hAnsi="Calibri" w:cs="Arial"/>
          <w:b/>
          <w:color w:val="000000" w:themeColor="text1"/>
          <w:sz w:val="24"/>
          <w:szCs w:val="24"/>
        </w:rPr>
        <w:t>emuneration</w:t>
      </w:r>
    </w:p>
    <w:p w14:paraId="7A7C652C" w14:textId="2EBC18AD" w:rsidR="000C4777" w:rsidRPr="0074303E" w:rsidRDefault="00690EB0" w:rsidP="00E6233C">
      <w:pPr>
        <w:spacing w:line="360" w:lineRule="auto"/>
        <w:ind w:right="-32"/>
        <w:jc w:val="both"/>
        <w:rPr>
          <w:rFonts w:ascii="Calibri" w:hAnsi="Calibri" w:cs="Arial"/>
          <w:color w:val="000000" w:themeColor="text1"/>
          <w:sz w:val="22"/>
          <w:szCs w:val="22"/>
        </w:rPr>
      </w:pPr>
      <w:r w:rsidRPr="0074303E">
        <w:rPr>
          <w:rFonts w:ascii="Calibri" w:hAnsi="Calibri" w:cs="Arial"/>
          <w:b/>
          <w:color w:val="000000" w:themeColor="text1"/>
          <w:sz w:val="22"/>
          <w:szCs w:val="22"/>
        </w:rPr>
        <w:t>Salary Grade:</w:t>
      </w:r>
      <w:r w:rsidRPr="0074303E">
        <w:rPr>
          <w:rFonts w:ascii="Calibri" w:hAnsi="Calibri" w:cs="Arial"/>
          <w:b/>
          <w:color w:val="000000" w:themeColor="text1"/>
          <w:sz w:val="22"/>
          <w:szCs w:val="22"/>
        </w:rPr>
        <w:tab/>
      </w:r>
      <w:r w:rsidRPr="0074303E">
        <w:rPr>
          <w:rFonts w:ascii="Calibri" w:hAnsi="Calibri" w:cs="Arial"/>
          <w:b/>
          <w:color w:val="000000" w:themeColor="text1"/>
          <w:sz w:val="22"/>
          <w:szCs w:val="22"/>
        </w:rPr>
        <w:tab/>
      </w:r>
      <w:r w:rsidR="00F63274" w:rsidRPr="0074303E">
        <w:rPr>
          <w:rFonts w:ascii="Calibri" w:hAnsi="Calibri" w:cs="Arial"/>
          <w:b/>
          <w:color w:val="000000" w:themeColor="text1"/>
          <w:sz w:val="22"/>
          <w:szCs w:val="22"/>
        </w:rPr>
        <w:tab/>
      </w:r>
      <w:r w:rsidR="0074303E" w:rsidRPr="0074303E">
        <w:rPr>
          <w:rFonts w:ascii="Calibri" w:hAnsi="Calibri" w:cs="Arial"/>
          <w:b/>
          <w:color w:val="000000" w:themeColor="text1"/>
          <w:sz w:val="22"/>
          <w:szCs w:val="22"/>
        </w:rPr>
        <w:t xml:space="preserve">Principal Officer </w:t>
      </w:r>
      <w:r w:rsidR="00AD77E1">
        <w:rPr>
          <w:rFonts w:ascii="Calibri" w:hAnsi="Calibri" w:cs="Arial"/>
          <w:b/>
          <w:color w:val="000000" w:themeColor="text1"/>
          <w:sz w:val="22"/>
          <w:szCs w:val="22"/>
        </w:rPr>
        <w:t>Higher Scale</w:t>
      </w:r>
    </w:p>
    <w:p w14:paraId="114248E4" w14:textId="6256ED2F" w:rsidR="00A171F1" w:rsidRPr="000F2327" w:rsidRDefault="00D8645F" w:rsidP="00E6233C">
      <w:pPr>
        <w:spacing w:line="360" w:lineRule="auto"/>
        <w:ind w:right="-32"/>
        <w:jc w:val="both"/>
        <w:rPr>
          <w:rFonts w:asciiTheme="minorHAnsi" w:hAnsiTheme="minorHAnsi"/>
          <w:b/>
          <w:color w:val="000000" w:themeColor="text1"/>
          <w:sz w:val="22"/>
          <w:szCs w:val="22"/>
          <w:highlight w:val="yellow"/>
        </w:rPr>
      </w:pPr>
      <w:r w:rsidRPr="0074303E">
        <w:rPr>
          <w:rFonts w:ascii="Calibri" w:hAnsi="Calibri" w:cs="Arial"/>
          <w:b/>
          <w:color w:val="000000" w:themeColor="text1"/>
          <w:sz w:val="22"/>
          <w:szCs w:val="22"/>
        </w:rPr>
        <w:t>Salary Scale</w:t>
      </w:r>
      <w:r w:rsidR="00CF7A81" w:rsidRPr="0074303E">
        <w:rPr>
          <w:rFonts w:ascii="Calibri" w:hAnsi="Calibri" w:cs="Arial"/>
          <w:b/>
          <w:color w:val="000000" w:themeColor="text1"/>
          <w:sz w:val="22"/>
          <w:szCs w:val="22"/>
        </w:rPr>
        <w:t>:</w:t>
      </w:r>
      <w:r w:rsidR="00F63274" w:rsidRPr="0074303E">
        <w:rPr>
          <w:rFonts w:ascii="Calibri" w:hAnsi="Calibri" w:cs="Arial"/>
          <w:b/>
          <w:color w:val="000000" w:themeColor="text1"/>
          <w:sz w:val="22"/>
          <w:szCs w:val="22"/>
        </w:rPr>
        <w:tab/>
      </w:r>
      <w:r w:rsidR="00373814" w:rsidRPr="0074303E">
        <w:rPr>
          <w:rFonts w:ascii="Calibri" w:hAnsi="Calibri" w:cs="Arial"/>
          <w:b/>
          <w:color w:val="000000" w:themeColor="text1"/>
          <w:sz w:val="22"/>
          <w:szCs w:val="22"/>
        </w:rPr>
        <w:tab/>
      </w:r>
      <w:r w:rsidR="00373814" w:rsidRPr="0074303E">
        <w:rPr>
          <w:rFonts w:asciiTheme="minorHAnsi" w:hAnsiTheme="minorHAnsi"/>
          <w:b/>
          <w:color w:val="000000" w:themeColor="text1"/>
          <w:sz w:val="22"/>
          <w:szCs w:val="22"/>
        </w:rPr>
        <w:tab/>
      </w:r>
      <w:r w:rsidR="0074303E" w:rsidRPr="0074303E">
        <w:rPr>
          <w:rFonts w:asciiTheme="minorHAnsi" w:hAnsiTheme="minorHAnsi"/>
          <w:b/>
          <w:color w:val="000000" w:themeColor="text1"/>
          <w:sz w:val="22"/>
          <w:szCs w:val="22"/>
        </w:rPr>
        <w:t>€108,576</w:t>
      </w:r>
      <w:r w:rsidR="0074303E">
        <w:rPr>
          <w:rFonts w:asciiTheme="minorHAnsi" w:hAnsiTheme="minorHAnsi"/>
          <w:b/>
          <w:color w:val="000000" w:themeColor="text1"/>
          <w:sz w:val="22"/>
          <w:szCs w:val="22"/>
        </w:rPr>
        <w:t xml:space="preserve">, </w:t>
      </w:r>
      <w:r w:rsidR="0074303E" w:rsidRPr="0074303E">
        <w:rPr>
          <w:rFonts w:asciiTheme="minorHAnsi" w:hAnsiTheme="minorHAnsi"/>
          <w:b/>
          <w:color w:val="000000" w:themeColor="text1"/>
          <w:sz w:val="22"/>
          <w:szCs w:val="22"/>
        </w:rPr>
        <w:t>€113,047</w:t>
      </w:r>
      <w:r w:rsidR="0074303E">
        <w:rPr>
          <w:rFonts w:asciiTheme="minorHAnsi" w:hAnsiTheme="minorHAnsi"/>
          <w:b/>
          <w:color w:val="000000" w:themeColor="text1"/>
          <w:sz w:val="22"/>
          <w:szCs w:val="22"/>
        </w:rPr>
        <w:t xml:space="preserve">, </w:t>
      </w:r>
      <w:r w:rsidR="0074303E" w:rsidRPr="0074303E">
        <w:rPr>
          <w:rFonts w:asciiTheme="minorHAnsi" w:hAnsiTheme="minorHAnsi"/>
          <w:b/>
          <w:color w:val="000000" w:themeColor="text1"/>
          <w:sz w:val="22"/>
          <w:szCs w:val="22"/>
        </w:rPr>
        <w:t>€117,539</w:t>
      </w:r>
      <w:r w:rsidR="0074303E">
        <w:rPr>
          <w:rFonts w:asciiTheme="minorHAnsi" w:hAnsiTheme="minorHAnsi"/>
          <w:b/>
          <w:color w:val="000000" w:themeColor="text1"/>
          <w:sz w:val="22"/>
          <w:szCs w:val="22"/>
        </w:rPr>
        <w:t xml:space="preserve">, </w:t>
      </w:r>
      <w:r w:rsidR="0074303E" w:rsidRPr="0074303E">
        <w:rPr>
          <w:rFonts w:asciiTheme="minorHAnsi" w:hAnsiTheme="minorHAnsi"/>
          <w:b/>
          <w:color w:val="000000" w:themeColor="text1"/>
          <w:sz w:val="22"/>
          <w:szCs w:val="22"/>
        </w:rPr>
        <w:t>€122,021</w:t>
      </w:r>
      <w:r w:rsidR="0074303E">
        <w:rPr>
          <w:rFonts w:asciiTheme="minorHAnsi" w:hAnsiTheme="minorHAnsi"/>
          <w:b/>
          <w:color w:val="000000" w:themeColor="text1"/>
          <w:sz w:val="22"/>
          <w:szCs w:val="22"/>
        </w:rPr>
        <w:t xml:space="preserve">, </w:t>
      </w:r>
      <w:r w:rsidR="0074303E" w:rsidRPr="0074303E">
        <w:rPr>
          <w:rFonts w:asciiTheme="minorHAnsi" w:hAnsiTheme="minorHAnsi"/>
          <w:b/>
          <w:color w:val="000000" w:themeColor="text1"/>
          <w:sz w:val="22"/>
          <w:szCs w:val="22"/>
        </w:rPr>
        <w:t>€125,843</w:t>
      </w:r>
      <w:r w:rsidR="0074303E">
        <w:rPr>
          <w:rFonts w:asciiTheme="minorHAnsi" w:hAnsiTheme="minorHAnsi"/>
          <w:b/>
          <w:color w:val="000000" w:themeColor="text1"/>
          <w:sz w:val="22"/>
          <w:szCs w:val="22"/>
        </w:rPr>
        <w:t xml:space="preserve">, </w:t>
      </w:r>
      <w:r w:rsidR="0074303E" w:rsidRPr="0074303E">
        <w:rPr>
          <w:rFonts w:asciiTheme="minorHAnsi" w:hAnsiTheme="minorHAnsi"/>
          <w:b/>
          <w:color w:val="000000" w:themeColor="text1"/>
          <w:sz w:val="22"/>
          <w:szCs w:val="22"/>
        </w:rPr>
        <w:t>€129,870</w:t>
      </w:r>
      <w:r w:rsidR="0074303E">
        <w:rPr>
          <w:rFonts w:asciiTheme="minorHAnsi" w:hAnsiTheme="minorHAnsi"/>
          <w:b/>
          <w:color w:val="000000" w:themeColor="text1"/>
          <w:sz w:val="22"/>
          <w:szCs w:val="22"/>
        </w:rPr>
        <w:t xml:space="preserve"> (LS1), </w:t>
      </w:r>
      <w:r w:rsidR="0074303E" w:rsidRPr="0074303E">
        <w:rPr>
          <w:rFonts w:asciiTheme="minorHAnsi" w:hAnsiTheme="minorHAnsi"/>
          <w:b/>
          <w:color w:val="000000" w:themeColor="text1"/>
          <w:sz w:val="22"/>
          <w:szCs w:val="22"/>
        </w:rPr>
        <w:t>€133,897</w:t>
      </w:r>
      <w:r w:rsidR="0074303E">
        <w:rPr>
          <w:rFonts w:asciiTheme="minorHAnsi" w:hAnsiTheme="minorHAnsi"/>
          <w:b/>
          <w:color w:val="000000" w:themeColor="text1"/>
          <w:sz w:val="22"/>
          <w:szCs w:val="22"/>
        </w:rPr>
        <w:t xml:space="preserve"> (LS2)</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5F00D74E" w14:textId="1CE39337" w:rsidR="00155DD2" w:rsidRPr="00155DD2" w:rsidRDefault="00155DD2" w:rsidP="00E6233C">
      <w:pPr>
        <w:spacing w:line="360" w:lineRule="auto"/>
        <w:ind w:left="2880" w:right="-32"/>
        <w:jc w:val="both"/>
        <w:rPr>
          <w:rFonts w:asciiTheme="minorHAnsi" w:hAnsiTheme="minorHAnsi"/>
          <w:b/>
          <w:color w:val="000000" w:themeColor="text1"/>
          <w:sz w:val="22"/>
          <w:szCs w:val="22"/>
        </w:rPr>
      </w:pPr>
      <w:r w:rsidRPr="00155DD2">
        <w:rPr>
          <w:rFonts w:asciiTheme="minorHAnsi" w:hAnsiTheme="minorHAnsi"/>
          <w:b/>
          <w:color w:val="000000" w:themeColor="text1"/>
          <w:sz w:val="22"/>
          <w:szCs w:val="22"/>
        </w:rPr>
        <w:t>€103,142, €107,395, €111,663, €115,917, €119,553, €123,381 (LS1), €127,206 (LS2)</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155DD2">
        <w:rPr>
          <w:rFonts w:ascii="Calibri" w:hAnsi="Calibri" w:cs="Arial"/>
          <w:b/>
          <w:color w:val="000000" w:themeColor="text1"/>
          <w:sz w:val="22"/>
          <w:szCs w:val="22"/>
          <w:lang w:val="en-IE"/>
        </w:rPr>
        <w:t>Non Personal Pension Contribution (non-PPC) rate</w:t>
      </w:r>
      <w:r w:rsidRPr="000F2327">
        <w:rPr>
          <w:rFonts w:ascii="Calibri" w:hAnsi="Calibri" w:cs="Arial"/>
          <w:b/>
          <w:color w:val="000000" w:themeColor="text1"/>
          <w:sz w:val="22"/>
          <w:szCs w:val="22"/>
          <w:lang w:val="en-IE"/>
        </w:rPr>
        <w:t>.</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0F755E60"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7A191F">
        <w:rPr>
          <w:rFonts w:ascii="Calibri" w:hAnsi="Calibri" w:cs="Arial"/>
          <w:b/>
          <w:color w:val="000000" w:themeColor="text1"/>
          <w:sz w:val="22"/>
          <w:szCs w:val="22"/>
        </w:rPr>
        <w:t>Annual Leave</w:t>
      </w:r>
      <w:r w:rsidR="007469D5" w:rsidRPr="007A191F">
        <w:rPr>
          <w:rFonts w:ascii="Calibri" w:hAnsi="Calibri" w:cs="Arial"/>
          <w:b/>
          <w:color w:val="000000" w:themeColor="text1"/>
          <w:sz w:val="22"/>
          <w:szCs w:val="22"/>
        </w:rPr>
        <w:t>:</w:t>
      </w:r>
      <w:r w:rsidRPr="007A191F">
        <w:rPr>
          <w:rFonts w:ascii="Calibri" w:hAnsi="Calibri" w:cs="Arial"/>
          <w:b/>
          <w:color w:val="000000" w:themeColor="text1"/>
          <w:sz w:val="22"/>
          <w:szCs w:val="22"/>
        </w:rPr>
        <w:tab/>
      </w:r>
      <w:r w:rsidR="007A191F" w:rsidRPr="007A191F">
        <w:rPr>
          <w:rFonts w:ascii="Calibri" w:hAnsi="Calibri" w:cs="Arial"/>
          <w:color w:val="000000" w:themeColor="text1"/>
          <w:sz w:val="22"/>
          <w:szCs w:val="22"/>
        </w:rPr>
        <w:t>30</w:t>
      </w:r>
      <w:r w:rsidR="002332B4" w:rsidRPr="007A191F">
        <w:rPr>
          <w:rFonts w:ascii="Calibri" w:hAnsi="Calibri" w:cs="Arial"/>
          <w:color w:val="000000" w:themeColor="text1"/>
          <w:sz w:val="22"/>
          <w:szCs w:val="22"/>
        </w:rPr>
        <w:t xml:space="preserve"> </w:t>
      </w:r>
      <w:r w:rsidRPr="007A191F">
        <w:rPr>
          <w:rFonts w:ascii="Calibri" w:hAnsi="Calibri" w:cs="Arial"/>
          <w:color w:val="000000" w:themeColor="text1"/>
          <w:sz w:val="22"/>
          <w:szCs w:val="22"/>
        </w:rPr>
        <w:t>days per annum. This</w:t>
      </w:r>
      <w:r w:rsidRPr="000F2327">
        <w:rPr>
          <w:rFonts w:ascii="Calibri" w:hAnsi="Calibri" w:cs="Arial"/>
          <w:color w:val="000000" w:themeColor="text1"/>
          <w:sz w:val="22"/>
          <w:szCs w:val="22"/>
        </w:rPr>
        <w:t xml:space="preserve">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155DD2">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155DD2">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155DD2">
      <w:pPr>
        <w:pStyle w:val="ListParagraph"/>
        <w:numPr>
          <w:ilvl w:val="0"/>
          <w:numId w:val="4"/>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2990B9F2"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AD77E1">
        <w:rPr>
          <w:rFonts w:asciiTheme="minorHAnsi" w:hAnsiTheme="minorHAnsi" w:cstheme="minorHAnsi"/>
          <w:b/>
          <w:bCs/>
          <w:sz w:val="22"/>
          <w:szCs w:val="22"/>
          <w:lang w:eastAsia="en-US"/>
        </w:rPr>
        <w:t>www.nationaltransport.ie/about-us/careers</w:t>
      </w:r>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2C034828"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7A191F" w:rsidRPr="003B0001">
        <w:rPr>
          <w:rFonts w:ascii="Calibri" w:hAnsi="Calibri"/>
          <w:b/>
          <w:spacing w:val="-2"/>
          <w:sz w:val="22"/>
          <w:szCs w:val="22"/>
        </w:rPr>
        <w:t>ntacareers@rsmireland.ie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649D09C6" w:rsidR="00045BAB" w:rsidRPr="000F2327" w:rsidRDefault="00045BAB" w:rsidP="00155DD2">
      <w:pPr>
        <w:numPr>
          <w:ilvl w:val="0"/>
          <w:numId w:val="7"/>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7A191F">
        <w:rPr>
          <w:rFonts w:ascii="Calibri" w:hAnsi="Calibri" w:cs="Arial"/>
          <w:color w:val="000000" w:themeColor="text1"/>
          <w:sz w:val="22"/>
          <w:szCs w:val="22"/>
        </w:rPr>
        <w:t xml:space="preserve"> Senior Financial Controller</w:t>
      </w:r>
      <w:r w:rsidR="000129B1" w:rsidRPr="000F2327">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317B0F3C" w14:textId="14802A94" w:rsidR="00A323E0" w:rsidRPr="000F2327" w:rsidRDefault="00A323E0" w:rsidP="00155DD2">
      <w:pPr>
        <w:numPr>
          <w:ilvl w:val="0"/>
          <w:numId w:val="7"/>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6945F8">
        <w:rPr>
          <w:rFonts w:ascii="Calibri" w:hAnsi="Calibri" w:cs="Arial"/>
          <w:color w:val="000000" w:themeColor="text1"/>
          <w:sz w:val="22"/>
          <w:szCs w:val="22"/>
          <w:lang w:val="en-IE"/>
        </w:rPr>
        <w:t xml:space="preserve"> and</w:t>
      </w:r>
    </w:p>
    <w:p w14:paraId="59042FCF" w14:textId="77777777" w:rsidR="00A323E0" w:rsidRPr="000F2327" w:rsidRDefault="00A323E0" w:rsidP="00155DD2">
      <w:pPr>
        <w:numPr>
          <w:ilvl w:val="0"/>
          <w:numId w:val="7"/>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7777777"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w:t>
      </w:r>
      <w:r w:rsidRPr="007A191F">
        <w:rPr>
          <w:rFonts w:ascii="Calibri" w:hAnsi="Calibri" w:cs="Arial"/>
          <w:bCs/>
          <w:color w:val="000000" w:themeColor="text1"/>
          <w:sz w:val="22"/>
          <w:szCs w:val="22"/>
        </w:rPr>
        <w:t>the 3 requested</w:t>
      </w:r>
      <w:r w:rsidRPr="000F2327">
        <w:rPr>
          <w:rFonts w:ascii="Calibri" w:hAnsi="Calibri" w:cs="Arial"/>
          <w:bCs/>
          <w:color w:val="000000" w:themeColor="text1"/>
          <w:sz w:val="22"/>
          <w:szCs w:val="22"/>
        </w:rPr>
        <w:t xml:space="preserve">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300DE7FF"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7A191F">
        <w:rPr>
          <w:rFonts w:ascii="Calibri" w:hAnsi="Calibri" w:cs="Arial"/>
          <w:b/>
          <w:color w:val="000000" w:themeColor="text1"/>
          <w:sz w:val="22"/>
          <w:szCs w:val="22"/>
        </w:rPr>
        <w:t xml:space="preserve"> </w:t>
      </w:r>
      <w:r w:rsidR="00AD77E1">
        <w:rPr>
          <w:rFonts w:ascii="Calibri" w:hAnsi="Calibri" w:cs="Arial"/>
          <w:b/>
          <w:color w:val="000000" w:themeColor="text1"/>
          <w:sz w:val="22"/>
          <w:szCs w:val="22"/>
        </w:rPr>
        <w:t xml:space="preserve">Friday </w:t>
      </w:r>
      <w:r w:rsidR="007A191F">
        <w:rPr>
          <w:rFonts w:ascii="Calibri" w:hAnsi="Calibri" w:cs="Arial"/>
          <w:b/>
          <w:color w:val="000000" w:themeColor="text1"/>
          <w:sz w:val="22"/>
          <w:szCs w:val="22"/>
        </w:rPr>
        <w:t>17</w:t>
      </w:r>
      <w:r w:rsidR="007A191F" w:rsidRPr="007A191F">
        <w:rPr>
          <w:rFonts w:ascii="Calibri" w:hAnsi="Calibri" w:cs="Arial"/>
          <w:b/>
          <w:color w:val="000000" w:themeColor="text1"/>
          <w:sz w:val="22"/>
          <w:szCs w:val="22"/>
          <w:vertAlign w:val="superscript"/>
        </w:rPr>
        <w:t>th</w:t>
      </w:r>
      <w:r w:rsidR="007A191F">
        <w:rPr>
          <w:rFonts w:ascii="Calibri" w:hAnsi="Calibri" w:cs="Arial"/>
          <w:b/>
          <w:color w:val="000000" w:themeColor="text1"/>
          <w:sz w:val="22"/>
          <w:szCs w:val="22"/>
        </w:rPr>
        <w:t xml:space="preserve"> May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37C9D7AB"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7A191F" w:rsidRPr="007A191F">
        <w:rPr>
          <w:rFonts w:ascii="Calibri" w:hAnsi="Calibri"/>
          <w:b/>
          <w:spacing w:val="-2"/>
          <w:sz w:val="22"/>
          <w:szCs w:val="22"/>
        </w:rPr>
        <w:t xml:space="preserve"> </w:t>
      </w:r>
      <w:r w:rsidR="007A191F" w:rsidRPr="003B0001">
        <w:rPr>
          <w:rFonts w:ascii="Calibri" w:hAnsi="Calibri"/>
          <w:b/>
          <w:spacing w:val="-2"/>
          <w:sz w:val="22"/>
          <w:szCs w:val="22"/>
        </w:rPr>
        <w:t>ntacareers@rsmireland.ie</w:t>
      </w:r>
      <w:r w:rsidR="00F67F91" w:rsidRPr="000F2327">
        <w:rPr>
          <w:rFonts w:asciiTheme="minorHAnsi" w:hAnsiTheme="minorHAnsi" w:cstheme="minorHAnsi"/>
          <w:b/>
          <w:smallCaps/>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726F984E" w14:textId="328E1F67" w:rsidR="00B26CA5" w:rsidRPr="00D75834" w:rsidRDefault="007A191F" w:rsidP="008A0B4E">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Senior Financial Controller</w:t>
      </w:r>
      <w:r w:rsidR="006945F8">
        <w:rPr>
          <w:rFonts w:asciiTheme="minorHAnsi" w:eastAsia="Calibri" w:hAnsiTheme="minorHAnsi" w:cstheme="minorHAnsi"/>
          <w:b/>
          <w:color w:val="000000" w:themeColor="text1"/>
          <w:sz w:val="32"/>
          <w:szCs w:val="32"/>
          <w:lang w:val="en-IE"/>
        </w:rPr>
        <w:t xml:space="preserve"> </w:t>
      </w:r>
      <w:r w:rsidR="00B15796" w:rsidRPr="00D75834">
        <w:rPr>
          <w:rFonts w:asciiTheme="minorHAnsi" w:eastAsia="Calibri" w:hAnsiTheme="minorHAnsi" w:cstheme="minorHAnsi"/>
          <w:b/>
          <w:color w:val="000000" w:themeColor="text1"/>
          <w:sz w:val="32"/>
          <w:szCs w:val="32"/>
          <w:lang w:val="en-IE"/>
        </w:rPr>
        <w:t>-</w:t>
      </w:r>
      <w:r w:rsidR="00802483" w:rsidRPr="00D75834">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W w:w="10916" w:type="dxa"/>
        <w:tblInd w:w="-5" w:type="dxa"/>
        <w:tblLook w:val="04A0" w:firstRow="1" w:lastRow="0" w:firstColumn="1" w:lastColumn="0" w:noHBand="0" w:noVBand="1"/>
      </w:tblPr>
      <w:tblGrid>
        <w:gridCol w:w="1986"/>
        <w:gridCol w:w="8930"/>
      </w:tblGrid>
      <w:tr w:rsidR="007A191F" w14:paraId="05549802" w14:textId="77777777" w:rsidTr="006945F8">
        <w:trPr>
          <w:trHeight w:val="337"/>
        </w:trPr>
        <w:tc>
          <w:tcPr>
            <w:tcW w:w="1986"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3C2F104E"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Leadership &amp; Strategic Direction</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74914D6F"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the team, setting high standards, tackling any performance problems &amp; facilitating high performance</w:t>
            </w:r>
          </w:p>
        </w:tc>
      </w:tr>
      <w:tr w:rsidR="007A191F" w14:paraId="739803B4" w14:textId="77777777" w:rsidTr="006945F8">
        <w:trPr>
          <w:trHeight w:val="37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195841CC"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9E0E402" w14:textId="77777777" w:rsidR="007A191F" w:rsidRDefault="007A191F">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Facilitates an open exchange of ideas and fosters and atmosphere of open communication</w:t>
            </w:r>
          </w:p>
        </w:tc>
      </w:tr>
      <w:tr w:rsidR="007A191F" w14:paraId="37C7A12C" w14:textId="77777777" w:rsidTr="006945F8">
        <w:trPr>
          <w:trHeight w:val="376"/>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29D30E92"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20E2CC62"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to the shaping of Departmental / Government strategy and policy</w:t>
            </w:r>
          </w:p>
        </w:tc>
      </w:tr>
      <w:tr w:rsidR="007A191F" w14:paraId="5278E340" w14:textId="77777777" w:rsidTr="006945F8">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007ED919"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D5B4BD5"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and capacity across the team through effective delegation</w:t>
            </w:r>
          </w:p>
        </w:tc>
      </w:tr>
      <w:tr w:rsidR="007A191F" w14:paraId="0C0B45C4" w14:textId="77777777" w:rsidTr="006945F8">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02B2EE6D"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25717110"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 culture of learning &amp; development, offering coaching and constructive / supportive feedback</w:t>
            </w:r>
          </w:p>
        </w:tc>
      </w:tr>
      <w:tr w:rsidR="007A191F" w14:paraId="76F15CA3" w14:textId="77777777" w:rsidTr="006945F8">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2780173E"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8087159"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on preparing for and implementing significant change and reform</w:t>
            </w:r>
          </w:p>
        </w:tc>
      </w:tr>
      <w:tr w:rsidR="007A191F" w14:paraId="736EAC61" w14:textId="77777777" w:rsidTr="006945F8">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247BDC6B"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3EC3AA72"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Anticipates and responds quickly to developments in the sector/ broader environment</w:t>
            </w:r>
          </w:p>
        </w:tc>
      </w:tr>
      <w:tr w:rsidR="007A191F" w14:paraId="6006FCA2" w14:textId="77777777" w:rsidTr="006945F8">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77D804B0" w14:textId="77777777" w:rsidR="007A191F" w:rsidRDefault="007A191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3538D318"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collaborates with other Departments, Organisations and Agencies</w:t>
            </w:r>
          </w:p>
        </w:tc>
      </w:tr>
      <w:tr w:rsidR="007A191F" w14:paraId="0E148521" w14:textId="77777777" w:rsidTr="006945F8">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0716C68B"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FCB875C"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focuses on core issues when dealing with complex information/ situations</w:t>
            </w:r>
          </w:p>
        </w:tc>
      </w:tr>
      <w:tr w:rsidR="007A191F" w14:paraId="7749FB96" w14:textId="77777777" w:rsidTr="006945F8">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4443F903" w14:textId="77777777" w:rsidR="007A191F" w:rsidRDefault="007A191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EB4C080"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Assembles facts, manipulates verbal and numerical information and thinks through issues logically</w:t>
            </w:r>
          </w:p>
        </w:tc>
      </w:tr>
      <w:tr w:rsidR="007A191F" w14:paraId="4106B1D4"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6C45AAE4" w14:textId="77777777" w:rsidR="007A191F" w:rsidRDefault="007A191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7B9E157"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Sees the relationships between issues and quickly grasp the high level and socio-political implications</w:t>
            </w:r>
          </w:p>
        </w:tc>
      </w:tr>
      <w:tr w:rsidR="007A191F" w14:paraId="5BC61CDE"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38E0E915" w14:textId="77777777" w:rsidR="007A191F" w:rsidRDefault="007A191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275AA704"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coherent solutions to complex issues</w:t>
            </w:r>
          </w:p>
        </w:tc>
      </w:tr>
      <w:tr w:rsidR="007A191F" w14:paraId="25DD7737"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A4E5760" w14:textId="77777777" w:rsidR="007A191F" w:rsidRDefault="007A191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A7AD8D7"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action, making decisions in a timely manner and having the courage to see them through</w:t>
            </w:r>
          </w:p>
        </w:tc>
      </w:tr>
      <w:tr w:rsidR="007A191F" w14:paraId="7935AAA2"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3C333AEB" w14:textId="77777777" w:rsidR="007A191F" w:rsidRDefault="007A191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14681D38"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sound and well informed decisions, understanding their impact and implications</w:t>
            </w:r>
          </w:p>
        </w:tc>
      </w:tr>
      <w:tr w:rsidR="007A191F" w14:paraId="2F035A23"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1ADFF906" w14:textId="77777777" w:rsidR="007A191F" w:rsidRDefault="007A191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1D610B83"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Strives to effectively balances the sectoral issues, political elements and the citizen impact in all decisions</w:t>
            </w:r>
          </w:p>
        </w:tc>
      </w:tr>
      <w:tr w:rsidR="007A191F" w14:paraId="7C13885A" w14:textId="77777777" w:rsidTr="006945F8">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2EA5B760"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6789C5E"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Initiates and takes personal responsibility for delivering results/ services in own area</w:t>
            </w:r>
          </w:p>
        </w:tc>
      </w:tr>
      <w:tr w:rsidR="007A191F" w14:paraId="21D9DA6B" w14:textId="77777777" w:rsidTr="006945F8">
        <w:trPr>
          <w:trHeight w:val="295"/>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1462EC78"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216702A"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Balances strategy and operational detail to meet business needs</w:t>
            </w:r>
          </w:p>
        </w:tc>
      </w:tr>
      <w:tr w:rsidR="007A191F" w14:paraId="67AF2B7C"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D9D0892"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C5EB0BD"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multiple agendas and tasks and reallocates resources to manage changes in focus</w:t>
            </w:r>
          </w:p>
        </w:tc>
      </w:tr>
      <w:tr w:rsidR="007A191F" w14:paraId="3BFB72A7"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4624124E"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0DF2781"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optimum use of resources and implements performance measures to deliver on objectives</w:t>
            </w:r>
          </w:p>
        </w:tc>
      </w:tr>
      <w:tr w:rsidR="007A191F" w14:paraId="09CAEFA4" w14:textId="77777777" w:rsidTr="006945F8">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86A54FF"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24B9CCA"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optimal use of ICT and new delivery models</w:t>
            </w:r>
          </w:p>
        </w:tc>
      </w:tr>
      <w:tr w:rsidR="007A191F" w14:paraId="64C2FE42"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49581C87"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44B387D"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Critically reviews projects and activities to ensure their effectiveness and that they meet Organisational requirements</w:t>
            </w:r>
          </w:p>
        </w:tc>
      </w:tr>
      <w:tr w:rsidR="007A191F" w14:paraId="0FC0FBE2"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7A10491"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6738F94D"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the importance of efficiencies, value for money and meeting corporate governance requirements</w:t>
            </w:r>
          </w:p>
        </w:tc>
      </w:tr>
      <w:tr w:rsidR="007A191F" w14:paraId="494696A2" w14:textId="77777777" w:rsidTr="006945F8">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798BB8B5" w14:textId="77777777" w:rsidR="007A191F" w:rsidRDefault="007A191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0039ED05"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team are focused and act on Business plans priorities, even when faced with pressure</w:t>
            </w:r>
          </w:p>
        </w:tc>
      </w:tr>
      <w:tr w:rsidR="007A191F" w14:paraId="69092275" w14:textId="77777777" w:rsidTr="006945F8">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340D9913"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Building </w:t>
            </w:r>
          </w:p>
          <w:p w14:paraId="08B63610"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Relationships &amp; </w:t>
            </w:r>
          </w:p>
          <w:p w14:paraId="5144B437"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Communication</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53C288DB"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Speaks and writes in a clear, articulate and impactful manner</w:t>
            </w:r>
          </w:p>
        </w:tc>
      </w:tr>
      <w:tr w:rsidR="007A191F" w14:paraId="567F4559"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1E7BC7BC" w14:textId="77777777" w:rsidR="007A191F" w:rsidRDefault="007A191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DAA39FD"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listens, seeking to understand the perspective and position of others</w:t>
            </w:r>
          </w:p>
        </w:tc>
      </w:tr>
      <w:tr w:rsidR="007A191F" w14:paraId="4CC1AC54"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6B944823" w14:textId="77777777" w:rsidR="007A191F" w:rsidRDefault="007A191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32A05AA1"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and resolves conflicts / disagreements in a positive &amp; constructive manner</w:t>
            </w:r>
          </w:p>
        </w:tc>
      </w:tr>
      <w:tr w:rsidR="007A191F" w14:paraId="4B47CB47" w14:textId="77777777" w:rsidTr="006945F8">
        <w:trPr>
          <w:trHeight w:val="376"/>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CFCE430" w14:textId="77777777" w:rsidR="007A191F" w:rsidRDefault="007A191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4CCADED4"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Works effectively within the political process, recognising &amp; managing tensions arising from different </w:t>
            </w:r>
          </w:p>
          <w:p w14:paraId="1DD3393E"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stakeholders perspectives</w:t>
            </w:r>
          </w:p>
        </w:tc>
      </w:tr>
      <w:tr w:rsidR="007A191F" w14:paraId="08013C4D"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1C4E2EC6" w14:textId="77777777" w:rsidR="007A191F" w:rsidRDefault="007A191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E651C72"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Persuades others; builds consensus, gains co-operation from others to obtain information and accomplish goals</w:t>
            </w:r>
          </w:p>
        </w:tc>
      </w:tr>
      <w:tr w:rsidR="007A191F" w14:paraId="26E5B77F"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2730541" w14:textId="77777777" w:rsidR="007A191F" w:rsidRDefault="007A191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19D59B2"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Proactively engages with colleagues at all levels of the organisation and across other Departments// </w:t>
            </w:r>
          </w:p>
          <w:p w14:paraId="0C86B54B"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Organisations and builds strong professional networks</w:t>
            </w:r>
          </w:p>
        </w:tc>
      </w:tr>
      <w:tr w:rsidR="007A191F" w14:paraId="5029DA01"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55BD396C" w14:textId="77777777" w:rsidR="007A191F" w:rsidRDefault="007A191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5750C1DB"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opinions known when s/he feels it is right to do so</w:t>
            </w:r>
          </w:p>
        </w:tc>
      </w:tr>
      <w:tr w:rsidR="007A191F" w14:paraId="4777A7AF" w14:textId="77777777" w:rsidTr="006945F8">
        <w:trPr>
          <w:trHeight w:val="694"/>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9BBB59" w:themeFill="accent3"/>
            <w:hideMark/>
          </w:tcPr>
          <w:p w14:paraId="709D4455"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5C536744"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Develops and maintains skills and expertise across a number of areas that are relevant to his/her field and </w:t>
            </w:r>
          </w:p>
          <w:p w14:paraId="06AD753F"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recognised by people internal and external to the Department/ Organisation</w:t>
            </w:r>
          </w:p>
        </w:tc>
      </w:tr>
      <w:tr w:rsidR="007A191F" w14:paraId="7C24CF0F" w14:textId="77777777" w:rsidTr="006945F8">
        <w:trPr>
          <w:trHeight w:val="567"/>
        </w:trPr>
        <w:tc>
          <w:tcPr>
            <w:tcW w:w="0" w:type="auto"/>
            <w:vMerge/>
            <w:tcBorders>
              <w:top w:val="single" w:sz="4" w:space="0" w:color="FFFFFF"/>
              <w:left w:val="single" w:sz="4" w:space="0" w:color="FFFFFF"/>
              <w:bottom w:val="single" w:sz="4" w:space="0" w:color="FFFFFF"/>
              <w:right w:val="single" w:sz="4" w:space="0" w:color="FFFFFF"/>
            </w:tcBorders>
            <w:shd w:val="clear" w:color="auto" w:fill="9BBB59" w:themeFill="accent3"/>
            <w:vAlign w:val="center"/>
            <w:hideMark/>
          </w:tcPr>
          <w:p w14:paraId="5468CE72" w14:textId="77777777" w:rsidR="007A191F" w:rsidRDefault="007A191F">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53C4DE81"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Keeps up to date with key departmental, sectoral, national and international policies and economic, political and </w:t>
            </w:r>
          </w:p>
          <w:p w14:paraId="4298D4B4"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social trends that affect the role</w:t>
            </w:r>
          </w:p>
        </w:tc>
      </w:tr>
      <w:tr w:rsidR="007A191F" w14:paraId="4D314185"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9BBB59" w:themeFill="accent3"/>
            <w:vAlign w:val="center"/>
            <w:hideMark/>
          </w:tcPr>
          <w:p w14:paraId="2B287234" w14:textId="77777777" w:rsidR="007A191F" w:rsidRDefault="007A191F">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49B20331"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strong focus on self-development, seeking feedback and opportunities for growth</w:t>
            </w:r>
          </w:p>
        </w:tc>
      </w:tr>
      <w:tr w:rsidR="007A191F" w14:paraId="2EBE03B1" w14:textId="77777777" w:rsidTr="006945F8">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75AB7988" w14:textId="77777777" w:rsidR="007A191F" w:rsidRDefault="007A191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4E625E07"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Consistently strives to perform at a high level</w:t>
            </w:r>
          </w:p>
        </w:tc>
      </w:tr>
      <w:tr w:rsidR="007A191F" w14:paraId="2CD641E7"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4AA06C46" w14:textId="77777777" w:rsidR="007A191F" w:rsidRDefault="007A191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766A482"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Demonstrates personal commitment to the role, maintaining determination and persistence while maintain </w:t>
            </w:r>
          </w:p>
          <w:p w14:paraId="07C1B1FF"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sense of balance and perspective in relation to work issues</w:t>
            </w:r>
          </w:p>
        </w:tc>
      </w:tr>
      <w:tr w:rsidR="007A191F" w14:paraId="353F145E"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32AB1296" w14:textId="77777777" w:rsidR="007A191F" w:rsidRDefault="007A191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7F4CBE6"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positively to the corporate agenda</w:t>
            </w:r>
          </w:p>
        </w:tc>
      </w:tr>
      <w:tr w:rsidR="007A191F" w14:paraId="13431053"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4FFD1D82" w14:textId="77777777" w:rsidR="007A191F" w:rsidRDefault="007A191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3C61E961"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trustworthy, honest and respectful, delivering on promises and commitments</w:t>
            </w:r>
          </w:p>
        </w:tc>
      </w:tr>
      <w:tr w:rsidR="007A191F" w14:paraId="18127A4C"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0ED5EAB7" w14:textId="77777777" w:rsidR="007A191F" w:rsidRDefault="007A191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3F9A288D"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7A191F" w14:paraId="093DA331"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17EA7D9E" w14:textId="77777777" w:rsidR="007A191F" w:rsidRDefault="007A191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9E1DF3B"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resilient, maintaining composure even in adverse or challenging situations</w:t>
            </w:r>
          </w:p>
        </w:tc>
      </w:tr>
      <w:tr w:rsidR="007A191F" w14:paraId="26F302BD" w14:textId="77777777" w:rsidTr="006945F8">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1CAA5097" w14:textId="77777777" w:rsidR="007A191F" w:rsidRDefault="007A191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4CE276C3" w14:textId="77777777" w:rsidR="007A191F" w:rsidRDefault="007A191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a culture that fosters the highest standards of ethics and integrity</w:t>
            </w:r>
          </w:p>
        </w:tc>
      </w:tr>
    </w:tbl>
    <w:p w14:paraId="3E4153A6" w14:textId="77777777" w:rsidR="007E7401" w:rsidRPr="000F2327"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B32CA4A" w14:textId="77777777" w:rsidR="008A0B4E" w:rsidRPr="000F2327"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687618F"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2B67B58"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DA6DB5A"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539D340"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66A2A00"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1D9FD1E"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2D04DCD"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C458C82"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32C4BAB"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55F9D17"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01A3726"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8C284B2"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9697CFB"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EEC5445"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B699F8D"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42EA5373" w14:textId="77777777" w:rsidR="00F67F91" w:rsidRDefault="00F67F91" w:rsidP="007A191F">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01231C32" w14:textId="77777777" w:rsidR="007A191F" w:rsidRPr="000F2327" w:rsidRDefault="007A191F" w:rsidP="007A191F">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329046E2"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3FC195A" w14:textId="475968B8" w:rsidR="007E6AE4" w:rsidRPr="00D75834" w:rsidRDefault="007A191F"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t>Senior Financial Controller</w:t>
      </w:r>
      <w:r w:rsidR="00E44516" w:rsidRPr="00D75834">
        <w:rPr>
          <w:rFonts w:asciiTheme="minorHAnsi" w:eastAsia="Calibri" w:hAnsiTheme="minorHAnsi" w:cstheme="minorHAnsi"/>
          <w:b/>
          <w:color w:val="000000" w:themeColor="text1"/>
          <w:sz w:val="32"/>
          <w:szCs w:val="32"/>
        </w:rPr>
        <w:t xml:space="preserve"> </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read </w:t>
      </w:r>
      <w:r w:rsidR="00076DE9" w:rsidRPr="00D75834">
        <w:rPr>
          <w:rFonts w:ascii="Calibri" w:hAnsi="Calibri" w:cs="Arial"/>
          <w:color w:val="000000" w:themeColor="text1"/>
          <w:sz w:val="22"/>
          <w:szCs w:val="24"/>
        </w:rPr>
        <w:t xml:space="preserve">through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having 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is outlined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r w:rsidR="00F67F91" w:rsidRPr="00D75834">
        <w:rPr>
          <w:rFonts w:ascii="Calibri" w:hAnsi="Calibri" w:cs="Arial"/>
          <w:b/>
          <w:color w:val="000000" w:themeColor="text1"/>
          <w:sz w:val="22"/>
          <w:szCs w:val="24"/>
        </w:rPr>
        <w:t>3</w:t>
      </w:r>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770A267E" w:rsidR="00DD114E" w:rsidRPr="00D75834" w:rsidRDefault="007A191F"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Senior Financial Controller</w:t>
      </w:r>
      <w:r w:rsidR="006945F8">
        <w:rPr>
          <w:rFonts w:asciiTheme="minorHAnsi" w:eastAsia="Calibri" w:hAnsiTheme="minorHAnsi" w:cstheme="minorHAnsi"/>
          <w:b/>
          <w:color w:val="000000" w:themeColor="text1"/>
          <w:sz w:val="32"/>
          <w:szCs w:val="32"/>
          <w:lang w:val="en-IE"/>
        </w:rPr>
        <w:t xml:space="preserve"> </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77777777"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3170DC35" w14:textId="77777777" w:rsidR="00DE5494" w:rsidRPr="00B72EB2" w:rsidRDefault="00DE5494" w:rsidP="00DE5494">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Pr="00B72EB2">
        <w:rPr>
          <w:rFonts w:ascii="Calibri" w:hAnsi="Calibri" w:cs="Arial"/>
          <w:b/>
          <w:color w:val="000000"/>
          <w:sz w:val="22"/>
          <w:szCs w:val="22"/>
        </w:rPr>
        <w:t>i.e. Publicjobs.ie, Irishjobs.ie, Irish Times, LinkedIn</w:t>
      </w:r>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p w14:paraId="51BCA6E8" w14:textId="77777777" w:rsidR="00BE194F" w:rsidRPr="000F2327"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4D5C0153" w14:textId="77777777" w:rsidR="00BE194F" w:rsidRPr="0031357E" w:rsidRDefault="00621545" w:rsidP="00E6233C">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446E3" w:rsidRPr="000F2327" w14:paraId="1E4BE346" w14:textId="77777777" w:rsidTr="0031357E">
        <w:trPr>
          <w:trHeight w:val="411"/>
        </w:trPr>
        <w:tc>
          <w:tcPr>
            <w:tcW w:w="10060" w:type="dxa"/>
            <w:shd w:val="clear" w:color="auto" w:fill="7030A0"/>
          </w:tcPr>
          <w:p w14:paraId="5DABAE55" w14:textId="013A4327" w:rsidR="001446E3" w:rsidRPr="0031357E" w:rsidRDefault="00566DCF" w:rsidP="0031357E">
            <w:pPr>
              <w:spacing w:before="24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Leadership &amp; Strategic Direction</w:t>
            </w:r>
          </w:p>
        </w:tc>
      </w:tr>
      <w:tr w:rsidR="001446E3" w:rsidRPr="000F2327" w14:paraId="112C4631" w14:textId="77777777" w:rsidTr="0031357E">
        <w:trPr>
          <w:trHeight w:val="1277"/>
        </w:trPr>
        <w:tc>
          <w:tcPr>
            <w:tcW w:w="10060" w:type="dxa"/>
            <w:tcBorders>
              <w:bottom w:val="single" w:sz="4" w:space="0" w:color="auto"/>
            </w:tcBorders>
          </w:tcPr>
          <w:p w14:paraId="605AB996" w14:textId="77777777" w:rsidR="00B72EB2"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138EA26F" w14:textId="64FBC934" w:rsidR="00B72EB2" w:rsidRDefault="00B72EB2"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2A62AB61" w14:textId="77777777" w:rsidR="006945F8" w:rsidRDefault="006945F8"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61FA483A"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59B1B2FC"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1446E3" w:rsidRPr="000F2327" w14:paraId="4FC3125A" w14:textId="77777777" w:rsidTr="0031357E">
        <w:trPr>
          <w:trHeight w:val="432"/>
        </w:trPr>
        <w:tc>
          <w:tcPr>
            <w:tcW w:w="10060" w:type="dxa"/>
            <w:shd w:val="clear" w:color="auto" w:fill="7030A0"/>
          </w:tcPr>
          <w:p w14:paraId="6A8D74B4" w14:textId="4213996E" w:rsidR="001446E3" w:rsidRPr="00D75834" w:rsidRDefault="00566DCF" w:rsidP="0031357E">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&amp; Decision Making</w:t>
            </w:r>
          </w:p>
        </w:tc>
      </w:tr>
      <w:tr w:rsidR="001446E3" w:rsidRPr="000F2327" w14:paraId="48248680" w14:textId="77777777" w:rsidTr="0031357E">
        <w:trPr>
          <w:trHeight w:val="1245"/>
        </w:trPr>
        <w:tc>
          <w:tcPr>
            <w:tcW w:w="10060" w:type="dxa"/>
          </w:tcPr>
          <w:p w14:paraId="09A3F54B" w14:textId="77777777" w:rsidR="005C0C16" w:rsidRDefault="005C0C16" w:rsidP="00D75834">
            <w:pPr>
              <w:spacing w:line="276" w:lineRule="auto"/>
              <w:ind w:right="-32"/>
              <w:rPr>
                <w:rFonts w:asciiTheme="minorHAnsi" w:eastAsiaTheme="minorHAnsi" w:hAnsiTheme="minorHAnsi" w:cstheme="minorHAnsi"/>
                <w:color w:val="000000"/>
                <w:sz w:val="22"/>
                <w:szCs w:val="22"/>
                <w:lang w:val="en-IE" w:eastAsia="en-US"/>
              </w:rPr>
            </w:pPr>
          </w:p>
          <w:p w14:paraId="7205F59E" w14:textId="77777777" w:rsidR="00B72EB2"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69AC9127" w14:textId="4AF1622E" w:rsidR="00B72EB2"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29504D3D" w14:textId="10D1BC9B" w:rsidR="006945F8" w:rsidRDefault="006945F8" w:rsidP="00D75834">
            <w:pPr>
              <w:spacing w:line="276" w:lineRule="auto"/>
              <w:ind w:right="-32"/>
              <w:rPr>
                <w:rFonts w:asciiTheme="minorHAnsi" w:eastAsiaTheme="minorHAnsi" w:hAnsiTheme="minorHAnsi" w:cstheme="minorHAnsi"/>
                <w:color w:val="000000"/>
                <w:sz w:val="22"/>
                <w:szCs w:val="22"/>
                <w:lang w:val="en-IE" w:eastAsia="en-US"/>
              </w:rPr>
            </w:pPr>
          </w:p>
          <w:p w14:paraId="593D3630" w14:textId="77777777" w:rsidR="006945F8" w:rsidRDefault="006945F8" w:rsidP="00D75834">
            <w:pPr>
              <w:spacing w:line="276" w:lineRule="auto"/>
              <w:ind w:right="-32"/>
              <w:rPr>
                <w:rFonts w:asciiTheme="minorHAnsi" w:eastAsiaTheme="minorHAnsi" w:hAnsiTheme="minorHAnsi" w:cstheme="minorHAnsi"/>
                <w:color w:val="000000"/>
                <w:sz w:val="22"/>
                <w:szCs w:val="22"/>
                <w:lang w:val="en-IE" w:eastAsia="en-US"/>
              </w:rPr>
            </w:pPr>
          </w:p>
          <w:p w14:paraId="1B9AB9F7" w14:textId="77777777" w:rsidR="006945F8" w:rsidRPr="000F2327" w:rsidRDefault="006945F8" w:rsidP="00D75834">
            <w:pPr>
              <w:spacing w:line="276" w:lineRule="auto"/>
              <w:ind w:right="-32"/>
              <w:rPr>
                <w:rFonts w:asciiTheme="minorHAnsi" w:eastAsiaTheme="minorHAnsi" w:hAnsiTheme="minorHAnsi" w:cstheme="minorHAnsi"/>
                <w:color w:val="000000"/>
                <w:sz w:val="22"/>
                <w:szCs w:val="22"/>
                <w:lang w:val="en-IE" w:eastAsia="en-US"/>
              </w:rPr>
            </w:pPr>
          </w:p>
          <w:p w14:paraId="1C496E98"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lang w:val="en-IE" w:eastAsia="en-US"/>
              </w:rPr>
            </w:pPr>
          </w:p>
        </w:tc>
      </w:tr>
      <w:tr w:rsidR="001446E3" w:rsidRPr="000F2327" w14:paraId="4A7CD0D0" w14:textId="77777777" w:rsidTr="0031357E">
        <w:trPr>
          <w:trHeight w:val="555"/>
        </w:trPr>
        <w:tc>
          <w:tcPr>
            <w:tcW w:w="10060" w:type="dxa"/>
            <w:shd w:val="clear" w:color="auto" w:fill="7030A0"/>
          </w:tcPr>
          <w:p w14:paraId="3C48A8B4" w14:textId="64627827" w:rsidR="001446E3" w:rsidRPr="000F2327" w:rsidRDefault="00566DCF" w:rsidP="00F5385D">
            <w:pPr>
              <w:spacing w:before="24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&amp; Delivery of Results</w:t>
            </w:r>
          </w:p>
        </w:tc>
      </w:tr>
      <w:tr w:rsidR="001446E3" w:rsidRPr="000F2327" w14:paraId="3185EAA2" w14:textId="77777777" w:rsidTr="0031357E">
        <w:trPr>
          <w:trHeight w:val="1245"/>
        </w:trPr>
        <w:tc>
          <w:tcPr>
            <w:tcW w:w="10060" w:type="dxa"/>
          </w:tcPr>
          <w:p w14:paraId="3163AA15" w14:textId="77777777" w:rsidR="007A1FEC" w:rsidRDefault="007A1FEC" w:rsidP="00D75834">
            <w:pPr>
              <w:spacing w:line="276" w:lineRule="auto"/>
              <w:ind w:right="-32"/>
              <w:rPr>
                <w:rFonts w:asciiTheme="minorHAnsi" w:eastAsiaTheme="minorHAnsi" w:hAnsiTheme="minorHAnsi" w:cstheme="minorHAnsi"/>
                <w:color w:val="000000"/>
                <w:sz w:val="22"/>
                <w:szCs w:val="22"/>
                <w:lang w:val="en-IE" w:eastAsia="en-US"/>
              </w:rPr>
            </w:pPr>
          </w:p>
          <w:p w14:paraId="5780BE65" w14:textId="77777777" w:rsidR="00F5385D" w:rsidRPr="00F5385D" w:rsidRDefault="00F5385D" w:rsidP="00D75834">
            <w:pPr>
              <w:spacing w:line="276" w:lineRule="auto"/>
              <w:ind w:right="-32"/>
              <w:rPr>
                <w:rFonts w:asciiTheme="minorHAnsi" w:eastAsiaTheme="minorHAnsi" w:hAnsiTheme="minorHAnsi" w:cstheme="minorHAnsi"/>
                <w:color w:val="000000"/>
                <w:sz w:val="22"/>
                <w:szCs w:val="22"/>
                <w:lang w:val="en-IE" w:eastAsia="en-US"/>
              </w:rPr>
            </w:pPr>
          </w:p>
          <w:p w14:paraId="01150F92" w14:textId="3814E1F5"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142D4A2D" w14:textId="77777777" w:rsidR="006945F8" w:rsidRDefault="006945F8" w:rsidP="00E6233C">
            <w:pPr>
              <w:spacing w:after="200" w:line="360" w:lineRule="auto"/>
              <w:ind w:right="-32"/>
              <w:rPr>
                <w:rFonts w:asciiTheme="minorHAnsi" w:eastAsiaTheme="minorHAnsi" w:hAnsiTheme="minorHAnsi" w:cstheme="minorHAnsi"/>
                <w:b/>
                <w:sz w:val="22"/>
                <w:szCs w:val="22"/>
                <w:lang w:val="en-IE" w:eastAsia="en-US"/>
              </w:rPr>
            </w:pPr>
          </w:p>
          <w:p w14:paraId="20031694" w14:textId="77777777" w:rsidR="00B72EB2" w:rsidRPr="000F2327" w:rsidRDefault="00B72EB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0F2327" w14:paraId="4F53C89D" w14:textId="77777777" w:rsidTr="0031357E">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F5385D" w:rsidRPr="000F2327" w14:paraId="4E8BB615" w14:textId="77777777" w:rsidTr="00F5385D">
              <w:trPr>
                <w:trHeight w:val="555"/>
              </w:trPr>
              <w:tc>
                <w:tcPr>
                  <w:tcW w:w="10065" w:type="dxa"/>
                  <w:shd w:val="clear" w:color="auto" w:fill="7030A0"/>
                </w:tcPr>
                <w:p w14:paraId="79871709" w14:textId="1A5A078D" w:rsidR="00F5385D" w:rsidRPr="000F2327" w:rsidRDefault="00566DCF" w:rsidP="00F5385D">
                  <w:pPr>
                    <w:spacing w:before="240" w:line="360" w:lineRule="auto"/>
                    <w:ind w:right="-32"/>
                    <w:rPr>
                      <w:rFonts w:asciiTheme="minorHAnsi" w:eastAsiaTheme="minorHAnsi" w:hAnsiTheme="minorHAnsi" w:cstheme="minorHAnsi"/>
                      <w:b/>
                      <w:sz w:val="22"/>
                      <w:szCs w:val="22"/>
                      <w:lang w:val="en-IE" w:eastAsia="en-US"/>
                    </w:rPr>
                  </w:pPr>
                  <w:r w:rsidRPr="00566DCF">
                    <w:rPr>
                      <w:rFonts w:asciiTheme="minorHAnsi" w:eastAsiaTheme="minorHAnsi" w:hAnsiTheme="minorHAnsi" w:cstheme="minorHAnsi"/>
                      <w:b/>
                      <w:color w:val="FFFFFF" w:themeColor="background1"/>
                      <w:sz w:val="22"/>
                      <w:szCs w:val="22"/>
                      <w:lang w:val="en-IE" w:eastAsia="en-US"/>
                    </w:rPr>
                    <w:t xml:space="preserve">Building </w:t>
                  </w:r>
                  <w:r>
                    <w:rPr>
                      <w:rFonts w:asciiTheme="minorHAnsi" w:eastAsiaTheme="minorHAnsi" w:hAnsiTheme="minorHAnsi" w:cstheme="minorHAnsi"/>
                      <w:b/>
                      <w:color w:val="FFFFFF" w:themeColor="background1"/>
                      <w:sz w:val="22"/>
                      <w:szCs w:val="22"/>
                      <w:lang w:val="en-IE" w:eastAsia="en-US"/>
                    </w:rPr>
                    <w:t>R</w:t>
                  </w:r>
                  <w:r w:rsidRPr="00566DCF">
                    <w:rPr>
                      <w:rFonts w:asciiTheme="minorHAnsi" w:eastAsiaTheme="minorHAnsi" w:hAnsiTheme="minorHAnsi" w:cstheme="minorHAnsi"/>
                      <w:b/>
                      <w:color w:val="FFFFFF" w:themeColor="background1"/>
                      <w:sz w:val="22"/>
                      <w:szCs w:val="22"/>
                      <w:lang w:val="en-IE" w:eastAsia="en-US"/>
                    </w:rPr>
                    <w:t xml:space="preserve">elationships &amp; Communication </w:t>
                  </w:r>
                </w:p>
              </w:tc>
            </w:tr>
            <w:tr w:rsidR="003B6751" w:rsidRPr="000F2327" w14:paraId="2F03A670" w14:textId="77777777" w:rsidTr="00F5385D">
              <w:trPr>
                <w:trHeight w:val="1245"/>
              </w:trPr>
              <w:tc>
                <w:tcPr>
                  <w:tcW w:w="10065" w:type="dxa"/>
                </w:tcPr>
                <w:p w14:paraId="60D524F6"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6BF7C955"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1BF3A529" w14:textId="77777777" w:rsidR="00BD5756" w:rsidRDefault="00BD5756" w:rsidP="00F5385D">
                  <w:pPr>
                    <w:spacing w:after="200" w:line="360" w:lineRule="auto"/>
                    <w:ind w:right="-32"/>
                    <w:rPr>
                      <w:rFonts w:asciiTheme="minorHAnsi" w:eastAsiaTheme="minorHAnsi" w:hAnsiTheme="minorHAnsi" w:cstheme="minorHAnsi"/>
                      <w:b/>
                      <w:sz w:val="22"/>
                      <w:szCs w:val="22"/>
                      <w:lang w:val="en-IE" w:eastAsia="en-US"/>
                    </w:rPr>
                  </w:pPr>
                </w:p>
                <w:p w14:paraId="62FE4AB5" w14:textId="77777777" w:rsidR="00B72EB2" w:rsidRDefault="00B72EB2" w:rsidP="00F5385D">
                  <w:pPr>
                    <w:spacing w:after="200" w:line="360" w:lineRule="auto"/>
                    <w:ind w:right="-32"/>
                    <w:rPr>
                      <w:rFonts w:asciiTheme="minorHAnsi" w:eastAsiaTheme="minorHAnsi" w:hAnsiTheme="minorHAnsi" w:cstheme="minorHAnsi"/>
                      <w:b/>
                      <w:sz w:val="22"/>
                      <w:szCs w:val="22"/>
                      <w:lang w:val="en-IE" w:eastAsia="en-US"/>
                    </w:rPr>
                  </w:pPr>
                </w:p>
                <w:p w14:paraId="6D13E34B" w14:textId="20A487E6" w:rsidR="006945F8" w:rsidRPr="000F2327" w:rsidRDefault="006945F8" w:rsidP="00F5385D">
                  <w:pPr>
                    <w:spacing w:after="200" w:line="360" w:lineRule="auto"/>
                    <w:ind w:right="-32"/>
                    <w:rPr>
                      <w:rFonts w:asciiTheme="minorHAnsi" w:eastAsiaTheme="minorHAnsi" w:hAnsiTheme="minorHAnsi" w:cstheme="minorHAnsi"/>
                      <w:b/>
                      <w:sz w:val="22"/>
                      <w:szCs w:val="22"/>
                      <w:lang w:val="en-IE" w:eastAsia="en-US"/>
                    </w:rPr>
                  </w:pPr>
                </w:p>
              </w:tc>
            </w:tr>
          </w:tbl>
          <w:p w14:paraId="3A14E9A2" w14:textId="77777777" w:rsidR="003B6751" w:rsidRPr="000F2327"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0F2327" w14:paraId="38579395" w14:textId="77777777" w:rsidTr="0031357E">
        <w:trPr>
          <w:trHeight w:val="411"/>
        </w:trPr>
        <w:tc>
          <w:tcPr>
            <w:tcW w:w="10060" w:type="dxa"/>
            <w:shd w:val="clear" w:color="auto" w:fill="7030A0"/>
          </w:tcPr>
          <w:p w14:paraId="5C4403ED" w14:textId="4A016B89" w:rsidR="001446E3" w:rsidRPr="000F2327" w:rsidRDefault="00566DCF" w:rsidP="00F5385D">
            <w:pPr>
              <w:spacing w:before="240" w:line="360" w:lineRule="auto"/>
              <w:ind w:right="-32"/>
              <w:rPr>
                <w:rFonts w:asciiTheme="minorHAnsi" w:hAnsiTheme="minorHAnsi" w:cstheme="minorHAnsi"/>
                <w:b/>
                <w:color w:val="000000"/>
                <w:sz w:val="22"/>
                <w:szCs w:val="22"/>
              </w:rPr>
            </w:pPr>
            <w:r>
              <w:rPr>
                <w:rFonts w:asciiTheme="minorHAnsi" w:eastAsiaTheme="minorHAnsi" w:hAnsiTheme="minorHAnsi" w:cstheme="minorHAnsi"/>
                <w:b/>
                <w:color w:val="FFFFFF" w:themeColor="background1"/>
                <w:sz w:val="22"/>
                <w:szCs w:val="22"/>
                <w:lang w:val="en-IE" w:eastAsia="en-US"/>
              </w:rPr>
              <w:t>Specialist Knowledge, expertise &amp; Self-Development</w:t>
            </w:r>
          </w:p>
        </w:tc>
      </w:tr>
      <w:tr w:rsidR="001446E3" w:rsidRPr="000F2327" w14:paraId="56B45BED" w14:textId="77777777" w:rsidTr="0031357E">
        <w:trPr>
          <w:trHeight w:val="1277"/>
        </w:trPr>
        <w:tc>
          <w:tcPr>
            <w:tcW w:w="10060" w:type="dxa"/>
            <w:tcBorders>
              <w:bottom w:val="single" w:sz="4" w:space="0" w:color="auto"/>
            </w:tcBorders>
          </w:tcPr>
          <w:p w14:paraId="12C597F8" w14:textId="77777777" w:rsidR="0000369B" w:rsidRPr="000F2327" w:rsidRDefault="0000369B" w:rsidP="00D75834">
            <w:pPr>
              <w:spacing w:line="276" w:lineRule="auto"/>
              <w:ind w:right="-32"/>
              <w:rPr>
                <w:rFonts w:asciiTheme="minorHAnsi" w:eastAsiaTheme="minorHAnsi" w:hAnsiTheme="minorHAnsi" w:cstheme="minorHAnsi"/>
                <w:color w:val="000000"/>
                <w:sz w:val="22"/>
                <w:szCs w:val="22"/>
                <w:lang w:val="en-IE" w:eastAsia="en-US"/>
              </w:rPr>
            </w:pPr>
          </w:p>
          <w:p w14:paraId="4163BA98" w14:textId="77777777" w:rsidR="00BD5756" w:rsidRPr="000F2327" w:rsidRDefault="00BD5756" w:rsidP="00D75834">
            <w:pPr>
              <w:spacing w:line="276" w:lineRule="auto"/>
              <w:ind w:right="-32"/>
              <w:rPr>
                <w:rFonts w:asciiTheme="minorHAnsi" w:eastAsiaTheme="minorHAnsi" w:hAnsiTheme="minorHAnsi" w:cstheme="minorHAnsi"/>
                <w:color w:val="000000"/>
                <w:sz w:val="22"/>
                <w:szCs w:val="22"/>
                <w:lang w:val="en-IE" w:eastAsia="en-US"/>
              </w:rPr>
            </w:pPr>
          </w:p>
          <w:p w14:paraId="29FA2739" w14:textId="5AE29E9B"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42EB98CB" w14:textId="77777777" w:rsidR="006945F8" w:rsidRDefault="006945F8" w:rsidP="00E6233C">
            <w:pPr>
              <w:spacing w:after="200" w:line="360" w:lineRule="auto"/>
              <w:ind w:right="-32"/>
              <w:rPr>
                <w:rFonts w:asciiTheme="minorHAnsi" w:eastAsiaTheme="minorHAnsi" w:hAnsiTheme="minorHAnsi" w:cstheme="minorHAnsi"/>
                <w:color w:val="000000"/>
                <w:sz w:val="22"/>
                <w:szCs w:val="22"/>
                <w:lang w:val="en-IE" w:eastAsia="en-US"/>
              </w:rPr>
            </w:pPr>
          </w:p>
          <w:p w14:paraId="7CBF6C8D" w14:textId="77777777" w:rsidR="00B72EB2" w:rsidRPr="000F2327" w:rsidRDefault="00B72EB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3FC0F7B5" w14:textId="77777777" w:rsidR="00E14045" w:rsidRPr="000F2327" w:rsidRDefault="00E14045" w:rsidP="00E6233C">
      <w:pPr>
        <w:spacing w:line="360" w:lineRule="auto"/>
        <w:ind w:right="-32"/>
        <w:rPr>
          <w:rFonts w:ascii="Calibri" w:hAnsi="Calibri" w:cs="Arial"/>
          <w:color w:val="000000" w:themeColor="text1"/>
          <w:lang w:eastAsia="en-US"/>
        </w:rPr>
      </w:pPr>
    </w:p>
    <w:sectPr w:rsidR="00E14045"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A975" w14:textId="77777777" w:rsidR="003B0001" w:rsidRDefault="003B0001" w:rsidP="00584379">
    <w:pPr>
      <w:jc w:val="center"/>
      <w:rPr>
        <w:b/>
        <w:spacing w:val="-2"/>
        <w:sz w:val="16"/>
        <w:szCs w:val="16"/>
        <w:lang w:val="en-IE"/>
      </w:rPr>
    </w:pPr>
    <w:r>
      <w:rPr>
        <w:b/>
        <w:spacing w:val="-2"/>
        <w:sz w:val="16"/>
        <w:szCs w:val="16"/>
        <w:lang w:val="en-IE"/>
      </w:rPr>
      <w:t>Senior Financial Controller</w:t>
    </w:r>
  </w:p>
  <w:p w14:paraId="6E9B1E0B" w14:textId="1699EBAA"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1E9ED167" w:rsidR="0031357E" w:rsidRDefault="0031357E">
    <w:pPr>
      <w:pStyle w:val="Header"/>
      <w:jc w:val="right"/>
    </w:pPr>
    <w:r>
      <w:fldChar w:fldCharType="begin"/>
    </w:r>
    <w:r>
      <w:instrText xml:space="preserve"> PAGE   \* MERGEFORMAT </w:instrText>
    </w:r>
    <w:r>
      <w:fldChar w:fldCharType="separate"/>
    </w:r>
    <w:r w:rsidR="00F46796">
      <w:rPr>
        <w:noProof/>
      </w:rPr>
      <w:t>12</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A6197E"/>
    <w:multiLevelType w:val="hybridMultilevel"/>
    <w:tmpl w:val="AA224E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32309B5"/>
    <w:multiLevelType w:val="hybridMultilevel"/>
    <w:tmpl w:val="B3B262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8"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5E56619C"/>
    <w:multiLevelType w:val="multilevel"/>
    <w:tmpl w:val="E9F2672A"/>
    <w:styleLink w:val="CurrentList1"/>
    <w:lvl w:ilvl="0">
      <w:start w:val="1"/>
      <w:numFmt w:val="lowerLetter"/>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0" w15:restartNumberingAfterBreak="0">
    <w:nsid w:val="64D92067"/>
    <w:multiLevelType w:val="hybridMultilevel"/>
    <w:tmpl w:val="A68CE7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27D1"/>
    <w:rsid w:val="001446E3"/>
    <w:rsid w:val="00147F7A"/>
    <w:rsid w:val="0015063D"/>
    <w:rsid w:val="00152ADA"/>
    <w:rsid w:val="00153009"/>
    <w:rsid w:val="00154EAB"/>
    <w:rsid w:val="00155DD2"/>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2F0"/>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001"/>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66DCF"/>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5F8"/>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D7DE9"/>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3E"/>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91F"/>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D77E1"/>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1917"/>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796"/>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2"/>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3"/>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numbering" w:customStyle="1" w:styleId="CurrentList1">
    <w:name w:val="Current List1"/>
    <w:uiPriority w:val="99"/>
    <w:rsid w:val="0074303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69">
      <w:bodyDiv w:val="1"/>
      <w:marLeft w:val="0"/>
      <w:marRight w:val="0"/>
      <w:marTop w:val="0"/>
      <w:marBottom w:val="0"/>
      <w:divBdr>
        <w:top w:val="none" w:sz="0" w:space="0" w:color="auto"/>
        <w:left w:val="none" w:sz="0" w:space="0" w:color="auto"/>
        <w:bottom w:val="none" w:sz="0" w:space="0" w:color="auto"/>
        <w:right w:val="none" w:sz="0" w:space="0" w:color="auto"/>
      </w:divBdr>
    </w:div>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29159906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16037947">
      <w:bodyDiv w:val="1"/>
      <w:marLeft w:val="0"/>
      <w:marRight w:val="0"/>
      <w:marTop w:val="0"/>
      <w:marBottom w:val="0"/>
      <w:divBdr>
        <w:top w:val="none" w:sz="0" w:space="0" w:color="auto"/>
        <w:left w:val="none" w:sz="0" w:space="0" w:color="auto"/>
        <w:bottom w:val="none" w:sz="0" w:space="0" w:color="auto"/>
        <w:right w:val="none" w:sz="0" w:space="0" w:color="auto"/>
      </w:divBdr>
    </w:div>
    <w:div w:id="524054964">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898173283">
      <w:bodyDiv w:val="1"/>
      <w:marLeft w:val="0"/>
      <w:marRight w:val="0"/>
      <w:marTop w:val="0"/>
      <w:marBottom w:val="0"/>
      <w:divBdr>
        <w:top w:val="none" w:sz="0" w:space="0" w:color="auto"/>
        <w:left w:val="none" w:sz="0" w:space="0" w:color="auto"/>
        <w:bottom w:val="none" w:sz="0" w:space="0" w:color="auto"/>
        <w:right w:val="none" w:sz="0" w:space="0" w:color="auto"/>
      </w:divBdr>
    </w:div>
    <w:div w:id="1004943832">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176111110">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0826338">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3741051">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967738407">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 w:id="2122649096">
      <w:bodyDiv w:val="1"/>
      <w:marLeft w:val="0"/>
      <w:marRight w:val="0"/>
      <w:marTop w:val="0"/>
      <w:marBottom w:val="0"/>
      <w:divBdr>
        <w:top w:val="none" w:sz="0" w:space="0" w:color="auto"/>
        <w:left w:val="none" w:sz="0" w:space="0" w:color="auto"/>
        <w:bottom w:val="none" w:sz="0" w:space="0" w:color="auto"/>
        <w:right w:val="none" w:sz="0" w:space="0" w:color="auto"/>
      </w:divBdr>
    </w:div>
    <w:div w:id="2134209560">
      <w:bodyDiv w:val="1"/>
      <w:marLeft w:val="0"/>
      <w:marRight w:val="0"/>
      <w:marTop w:val="0"/>
      <w:marBottom w:val="0"/>
      <w:divBdr>
        <w:top w:val="none" w:sz="0" w:space="0" w:color="auto"/>
        <w:left w:val="none" w:sz="0" w:space="0" w:color="auto"/>
        <w:bottom w:val="none" w:sz="0" w:space="0" w:color="auto"/>
        <w:right w:val="none" w:sz="0" w:space="0" w:color="auto"/>
      </w:divBdr>
    </w:div>
    <w:div w:id="21458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576B-F4AA-4BC7-A16C-57D11DA2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2483</Words>
  <Characters>15528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17976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8</cp:revision>
  <cp:lastPrinted>2020-02-17T16:01:00Z</cp:lastPrinted>
  <dcterms:created xsi:type="dcterms:W3CDTF">2024-04-25T08:22:00Z</dcterms:created>
  <dcterms:modified xsi:type="dcterms:W3CDTF">2024-04-25T14:48:00Z</dcterms:modified>
</cp:coreProperties>
</file>